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4C.241/2004 vom 30. November 2004</w:t>
      </w:r>
    </w:p>
    <w:p>
      <w:r>
        <w:t>Bundesgericht, 2004-11-30, FR</w:t>
      </w:r>
    </w:p>
    <w:p>
      <w:r>
        <w:rPr>
          <w:b/>
        </w:rPr>
        <w:t xml:space="preserve">Quelle: </w:t>
      </w:r>
      <w:r>
        <w:t>https://mcp.opencaselaw.ch/entscheid/bger_4C.241_2004</w:t>
      </w:r>
    </w:p>
    <w:p>
      <w:r>
        <w:t>FR: TF 4C.241/2004 du 30 novembre 2004</w:t>
      </w:r>
    </w:p>
    <w:p>
      <w:r>
        <w:t>IT: TF 4C.241/2004 del 30 novembre 2004</w:t>
      </w:r>
    </w:p>
    <w:p>
      <w:pPr>
        <w:pStyle w:val="Heading2"/>
      </w:pPr>
      <w:r>
        <w:t>Regeste</w:t>
      </w:r>
    </w:p>
    <w:p>
      <w:r>
        <w:t>contrat de mandat | Droit des contrats</w:t>
      </w:r>
    </w:p>
    <w:p>
      <w:pPr>
        <w:pStyle w:val="Heading2"/>
      </w:pPr>
      <w:r>
        <w:t>Erwägungen</w:t>
      </w:r>
    </w:p>
    <w:p>
      <w:r>
        <w:rPr>
          <w:b/>
        </w:rPr>
        <w:t>E. 1</w:t>
      </w:r>
    </w:p>
    <w:p>
      <w:r>
        <w:t>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présent recours en réforme est en principe recevable, puisqu'il a été déposé dans les formes requises ( art. 55 OJ ) et en temps utile ( art. 54 al. 1 OJ ). En effet, l'arrêt attaqué ayant été notifié au mandataire de la défenderesse le 3 mai 2004, selon le bordereau de réception de la Chancellerie de la Cour de justice, le recours déposé le 2 juin 2004 à la poste l'a donc été dans le délai légal. La recevabilité du recours joint doit également être admise (art. 59 al. 2 à 3 OJ). Il convient donc d'entrer en matière, étant précisé que, compte tenu de l'élection de droit convenue par les parties, le droit suisse est applicable (cf. art. 116 LDIP ), ce qui n'est pas contesté.</w:t>
      </w:r>
    </w:p>
    <w:p>
      <w:r>
        <w:rPr>
          <w:b/>
        </w:rPr>
        <w:t>E. 2</w:t>
      </w:r>
    </w:p>
    <w:p>
      <w:r>
        <w:t>Le recours en réforme est ouvert pour se plaindre d'une violation du droit fédéral ( art. 43 al. 1 OJ ). Il ne permet en revanche pas d'invoquer la violation directe d'un droit de rang constitutionnel, la voie du recours de droit public étant réservée (cf. art. 43 al. 1 2 e phrase OJ). S'agissant des constatations de fait, le Tribunal fédéral, saisi d'un recours en réforme, conduit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art. 55 al. 1 let . c et d OJ; ATF 130 III 102 consid. 2.2 et les arrêts cités). Le recours en réforme n'est donc pas ouvert pour se plaindre de l'appréciation des preuves à laquelle s'est livrée l'instance cantonale ni des constatations de fait qui en découlent ( ATF 130 III 136 consid. 1.4; 128 III 271 consid. 2b/aa p. 277; 127 III 73 consid. 6a).</w:t>
      </w:r>
    </w:p>
    <w:p>
      <w:r>
        <w:rPr>
          <w:b/>
        </w:rPr>
        <w:t>E. 2.1</w:t>
      </w:r>
    </w:p>
    <w:p>
      <w:r>
        <w:t>En ce qui concerne la convention litigieuse sur les honoraires, la cour cantonale n'a pas constaté de volonté réelle et commune des parties qui aurait lié le Tribunal fédéral en vertu de l' art. 63 al. 2 OJ ( ATF 129 III 118 consid. 2.5, 664 consid. 3.1; 126 III 25 consid. 3c p. 29). Elle n'a en particulier pas pu déduire du comportement des parties postérieurement au contrat des indices de ce que celles-ci auraient effectivement voulu ( ATF 118 II 365 consid. 1; 117 II 273 consid. 5a). Les juges ont au contraire fait application du principe de la confiance pour interpréter la clause relative aux honoraires figurant au chiffre 5.1 du contrat liant les parties. Procédant à une interprétation littérale et systématique, ils ont considéré que cette clause prévoyait une rémunération annuelle de base de 600'000 US$, qui était susceptible d'être augmentée ou réduite en fonction des variations de la valeur nominale des actifs, définis en francs suisses, de la clientèle argentine. Ils ont également souligné qu'une telle interprétation n'allait pas à l'encontre du but poursuivi par le contrat, car lier les revenus du demandeur à l'évolution des avoirs des clients argentins revenait à opérer une rétrocession partielle des profits de la banque générés par cette clientèle. Une telle interprétation relève du droit, de sorte que le Tribunal fédéral, saisi d'un recours en réforme, peut l'examiner librement ( ATF 129 III 664 consid. 3.1 et les arrêts cités), en étant toutefois lié - sous réserve des exceptions prévues à l' art. 63 al. 2 OJ - par les constatations de fait relatives aux circonstances de la conclusion du contrat.</w:t>
      </w:r>
    </w:p>
    <w:p>
      <w:r>
        <w:rPr>
          <w:b/>
        </w:rPr>
        <w:t>E. 2.2</w:t>
      </w:r>
    </w:p>
    <w:p>
      <w:r>
        <w:t>La défenderesse invoque à ce propos une violation de l' art. 8 CC . Cette disposition règle, pour toutes les prétentions fondées sur le droit fédéral, la répartition du fardeau de la preuve et les conséquences de l'absence de preuve ( ATF 130 III 478 consid. 3.3; 129 III 18 consid. 2.6). Elle confère à la partie chargée du fardeau de la preuve la faculté de prouver ses allégations, pour autant que les faits allégués soient juridiquement pertinents et que l'offre de preuve correspondante satisfasse, quant à sa forme et à son contenu, aux exigences du droit cantonal de procédure ( ATF 129 III 18 consid. 2.6 et les arrêts cités). La défenderesse ne prétend pas, ni ne prouve du reste, qu'elle aurait offert des preuves à temps et conformément aux exigences formelles de la procédure cantonale, de nature à démontrer la volonté réelle et commune des parties concernant le calcul des honoraires contesté et, plus particulièrement s'agissant de l'interprétation de la clause litigieuse qu'elle préconise. Selon la banque, il faudrait en effet tenir compte, lors du calcul des actifs déterminants, des fluctuations des taux de change et de la capitalisation des intérêts. Comme le demandeur se fonde sur une interprétation de leur accord fondée sur le principe de la confiance, il ne lui appartenait pas, contrairement à ce que soutient la défenderesse, de démontrer l'existence de faits propres à prouver l'existence d'une volonté réelle des parties divergente de celle de la banque. La défenderesse ne peut donc être suivie lorsqu'elle soutient qu'il y aurait modification du fardeau de la preuve, dès lors que le demandeur, en réponse à l'argument de la défenderesse selon lequel une interprétation littérale du contrat aurait des conséquences absurdes, a invoqué, dans la partie en droit de son mémoire d'appel, que la banque percevait sa propre rémunération dans la monnaie de référence des clients argentins. La banque perd de vue qu'elle-même s'oppose à une interprétation du contrat découlant du sens usuel des mots, puisqu'elle prétend en substance que les parties n'auraient pas voulu que la clause litigieuse corresponde à son sens objectif. Or, sur ce point, la charge de la preuve lui appartenait.</w:t>
      </w:r>
    </w:p>
    <w:p>
      <w:r>
        <w:rPr>
          <w:b/>
        </w:rPr>
        <w:t>E. 2.3</w:t>
      </w:r>
    </w:p>
    <w:p>
      <w:r>
        <w:t>L'interprétation du contrat selon le principe de la confiance découlant de l' art. 18 CO signifie qu'il faut rechercher comment une déclaration ou une attitude pouvait être comprise de bonne foi en fonction de l'ensemble des circonstances ( ATF 130 III 417 consid. 3.2; 129 III 118 consid. 2.5, 702 consid. 2.4). Même si la teneur d'une clause contractuelle paraît claire à première vue, il peut résulter d'autres conditions du contrat, du but poursuivi par les parties ou d'autres circonstances que le texte de ladite clause ne restitue pas exactement le sens de l'accord conclu ( ATF 130 III 417 consid. 3.2 p. 425 et les arrêt cités); il n'y a cependant pas lieu de s'écarter du sens littéral, lorsqu'il n'y a pas de raisons sérieuses de penser qu'il ne correspond pas à la volonté des parties ( ATF 130 III 417 consid. 3.2 p. 425; 129 III 118 consid. 2.5; 128 III 267 consid. 3a). Le sens littéral donné par la cour cantonale à la clause d'honoraires litigieuse est convainquant, ce que ne remet pas en cause la défenderesse. Le fait que les juges n'aient pas discerné de contradiction entre l'interprétation retenue de la clause litigieuse et l'objectif poursuivi par les parties et qu'ils n'aient pas davantage voulu déduire des paiements subséquents de la défenderesse le caractère absurde de cette clause ne viole pas le principe de la confiance. Il convient de préciser que le comportement ultérieur des parties n'est pas déterminant dans le cadre d'une interprétation objective du contrat; il ne constitue qu'un indice de leur volonté réelle ( ATF 129 III 675 consid. 2.3 p. 680; 107 II 417 consid. 6), ce que la recourante méconnaît quand elle invoque d'une violation de l' art. 18 CO .</w:t>
      </w:r>
    </w:p>
    <w:p>
      <w:r>
        <w:rPr>
          <w:b/>
        </w:rPr>
        <w:t>E. 3</w:t>
      </w:r>
    </w:p>
    <w:p>
      <w:r>
        <w:t>Dans son dernier grief, la défenderesse se plaint d'une violation de l' art. 128 CO . Elle reproche à la cour cantonale de ne pas avoir fait application de la prescription quinquennale prévue à l' art. 128 ch. 1 CO , ce qui l'aurait amenée à conclure que non seulement les honoraires pour 1996 étaient atteints par la prescription, mais aussi les prétentions relatives aux deux premiers trimestres de l'année 1997, car, conformément à l' art. 130 CO , la prescription commence à courir dès que le créancier a le droit d'exiger la prestation du débiteur.</w:t>
      </w:r>
    </w:p>
    <w:p>
      <w:r>
        <w:rPr>
          <w:b/>
        </w:rPr>
        <w:t>E. 3.1</w:t>
      </w:r>
    </w:p>
    <w:p>
      <w:r>
        <w:t>Selon les considérations cantonales, les montants versés trimestriellement ne constituaient pas des prestations périodiques, mais des acomptes fixés par estimation sur les honoraires calculés annuellement. La cour cantonale en a déduit qu'il y avait lieu d'appliquer la prescription décennale de l' art. 127 CO , qui commençait à courir à partir de l'exigibilité de chaque tranche, soit au terme fixé contractuellement par les parties pour le début de chaque trimestre. Le point de savoir si la position de la cour cantonale, selon laquelle les honoraires convenus n'entrent pas dans la catégorie des prestations périodiques, alors que, chaque trimestre, un versement déterminé devait être effectué et qu'un décompte était établi à la fin de l'année, paraît très discutable (cf. la vue d'ensemble de la pratique in Berti, Commentaire zurichois, no 17 à 26 ad art. 128 CO ). Le Tribunal fédéral n'étant pas lié par l'argumentation juridique retenue par la cour cantonale ( ATF 130 III 362 consid. 5), la question peut toutefois demeurer indécise, car, même en appliquant le délai de cinq ans, les prétentions réclamées ne seraient de toute manière pas prescrites, comme il le sera expliqué ci-après.</w:t>
      </w:r>
    </w:p>
    <w:p>
      <w:r>
        <w:rPr>
          <w:b/>
        </w:rPr>
        <w:t>E. 3.2</w:t>
      </w:r>
    </w:p>
    <w:p>
      <w:r>
        <w:t>Il ressort des éléments pertinents retenus par la cour cantonale que les montants versés trimestriellement étaient des acomptes sur les honoraires établis concrètement sur la base des actifs des clients à la fin de l'année (système postnumerando). L'exigibilité de chaque tranche était fixée contractuellement pour le début du trimestre, soit le 1er janvier, le 1er avril, le 1er juillet et le 1er octobre. Les montants dus trimestriellement pour l'année 1997 ont toutefois été effectivement acquittés par la défenderesse, dès lors que, selon les constatations cantonales, elle a payé au demandeur cette année-là 639'000 US$ au total, soit plus que l'ensemble de la somme qui, selon le contrat, devait être versée en quatre tranches. Le demandeur réclame seulement le solde qui reste dû en fonction du décompte annuel qui ne pouvait être établi qu'à la fin de l'année 1997. Les deux premiers versements trimestriels de 1997 qui, par rapport au commandement de payer notifié en juin 2002, pourraient être prescrits, ont ainsi été payés par la défenderesse. Ils ne font pas partie du montant supplémentaire réclamé par le demandeur, qui repose sur le décompte final établi à fin 1997 sur la base des actifs déterminants et qui seul fait l'objet de la présente procédure.</w:t>
      </w:r>
    </w:p>
    <w:p>
      <w:r>
        <w:rPr>
          <w:b/>
        </w:rPr>
        <w:t>E. 4</w:t>
      </w:r>
    </w:p>
    <w:p>
      <w:r>
        <w:t>Dans son recours joint, le demandeur soutient que la cour cantonale a appliqué de façon trop stricte l' art. 102 CO , en considérant que les intérêt moratoires sur sa créance commençaient à courir seulement à partir de la notification du commandement de payer à la défenderesse, le 13 juin 2002. Il estime qu'en application de l' art. 102 al. 2 CO , une mise en demeure n'était pas nécessaire, car les parties avaient convenu contractuellement d'un jour d'exécution.</w:t>
      </w:r>
    </w:p>
    <w:p>
      <w:r>
        <w:rPr>
          <w:b/>
        </w:rPr>
        <w:t>E. 4.1</w:t>
      </w:r>
    </w:p>
    <w:p>
      <w:r>
        <w:t>Sans une interpellation préalable du créancier, le débiteur ne tombe en demeure que lorsqu'il peut savoir, en raison d'autres circonstances et d'une manière suffisamment claire et précise, qu'il est tenu d'exécuter sa prestation. Selon l' art. 102 al. 2 CO , cette hypothèse est réalisée lorsque le jour de l'exécution a été déterminé d'un commun accord ou fixé par l'une des parties en vertu d'un droit à elle réservé et au moyen d'un avertissement régulier. Ce jour peut correspondre à une date déterminée ou ressortir d'autres critères objectifs, à condition qu'ils permettent d'établir le jour de l'exécution avec la même précision et sans équivoque possible (Engel, Traité des obligations en droit suisse, 2e éd. Berne 1997, p. 688; Thévenoz, Commentaire romand, no 26 à 28 ad art. 102 CO ; Gauch/Schluep/Schmid/Rey, Schweizerisches Obligationenrecht, Band II, 8e éd. Zurich 2003, no 2964).</w:t>
      </w:r>
    </w:p>
    <w:p>
      <w:r>
        <w:rPr>
          <w:b/>
        </w:rPr>
        <w:t>E. 4.2</w:t>
      </w:r>
    </w:p>
    <w:p>
      <w:r>
        <w:t>En l'espèce, on ne peut admettre l'existence de critères objectifs de nature à fixer la date d'exécution de manière aussi précise qu'un jour du calendrier. Selon l'accord des parties, les honoraires du demandeur étaient calculés annuellement, selon un système postnumerando sur la base des actifs des clients, ce qui, pour des raisons pratiques, ne permet déjà pas de savoir si le décompte définitif pouvait être fourni le 31 décembre ou le premier janvier de l'année suivante. En outre, le demandeur ne prétend pas que les parties auraient convenu d'une date limite pour le paiement des honoraires, ce qui ne ressort pas davantage des constatations cantonales. En l'absence de critère objectif permettant d'établir de manière non équivoque le jour d'exécution, une interpellation était nécessaire. Selon l'arrêt attaqué, celle-ci n'est survenue qu'avec la poursuite intentée par le demandeur, plus précisément avec la notification du commandement de payer à la défenderesse le 13 juin 2002. Dans ces circonstances, il convient de rejeter tant le recours principal que le recours joint.</w:t>
      </w:r>
    </w:p>
    <w:p>
      <w:r>
        <w:rPr>
          <w:b/>
        </w:rPr>
        <w:t>E. 5</w:t>
      </w:r>
    </w:p>
    <w:p>
      <w:r>
        <w:t>Compte tenu de l'issue du litige, chaque partie supportera l'émolument judiciaire relatif à son propre recours, calculé sur la base de la valeur litigieuse totale de la présente cause ( art. 156 al. 1 OJ ). Il appartiendra en outre à la défenderesse de verser au demandeur une indemnité à titre de dépens réduits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