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4C.23/2006 vom 4. Mai 2006</w:t>
      </w:r>
    </w:p>
    <w:p>
      <w:r>
        <w:t>Bundesgericht, 2006-05-04, FR</w:t>
      </w:r>
    </w:p>
    <w:p>
      <w:r>
        <w:rPr>
          <w:b/>
        </w:rPr>
        <w:t xml:space="preserve">Quelle: </w:t>
      </w:r>
      <w:r>
        <w:t>https://mcp.opencaselaw.ch/entscheid/bger_4C.23_2006</w:t>
      </w:r>
    </w:p>
    <w:p>
      <w:r>
        <w:t>FR: TF 4C.23/2006 du 4 mai 2006</w:t>
      </w:r>
    </w:p>
    <w:p>
      <w:r>
        <w:t>IT: TF 4C.23/2006 del 4 maggio 2006</w:t>
      </w:r>
    </w:p>
    <w:p>
      <w:pPr>
        <w:pStyle w:val="Heading2"/>
      </w:pPr>
      <w:r>
        <w:t>Regeste</w:t>
      </w:r>
    </w:p>
    <w:p>
      <w:r>
        <w:t>contrat de travail; licenciement immédiat | Droit des contrats</w:t>
      </w:r>
    </w:p>
    <w:p>
      <w:pPr>
        <w:pStyle w:val="Heading2"/>
      </w:pPr>
      <w:r>
        <w:t>Erwägungen</w:t>
      </w:r>
    </w:p>
    <w:p>
      <w:r>
        <w:rPr>
          <w:b/>
        </w:rPr>
        <w:t>E. 1.1</w:t>
      </w:r>
    </w:p>
    <w:p>
      <w:r>
        <w:t>Interjeté par la défenderesse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soumis à l'examen du Tribunal fédéral est en principe recevable, puisqu'il a été déposé en temps utile compte tenu des féries ( art. 34 al. 1 let . c et 54 al. 1 OJ)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La défenderesse reproche tout d'abord à la cour cantonale d'avoir violé les art. 343 al. 4 CO et 8 CC, lorsqu'elle a retenu que les indemnités de départ avaient pour seul objectif de pallier l'absence d'assurance chômage et n'étaient pas octroyées en fonction d'un certain nombre de critères, rappelés par divers témoins.</w:t>
      </w:r>
    </w:p>
    <w:p>
      <w:r>
        <w:rPr>
          <w:b/>
        </w:rPr>
        <w:t>E. 2.1</w:t>
      </w:r>
    </w:p>
    <w:p>
      <w:r>
        <w:t>L' art. 343 al. 4 CO prévoit la maxime inquisitoire pour les litiges résultant du contrat de travail dont la valeur litigieuse - correspondant au montant des conclusions au moment de l'ouverture de l'action ( art. 343 al. 2 CO ; ATF 115 II 30 consid. 5b p. 41) - ne dépasse pas 30'000 fr. L' art. 343 CO n'empêche pas les cantons de prévoir une limite supérieure à la somme de 30'000 fr. pour la valeur litigieuse, voire même de faire abstraction d'une quelconque limite (Wyler, Droit du travail, Berne 2002, p. 472), compétence que le canton de Genève a utilisée pour introduire la maxime d'office sans égard à la valeur litigieuse des différends portés devant la juridiction des prud'hommes (art. 29 de la loi genevoise du 25 février 1999 sur la juridiction des prud'hommes (juridiction du travail); cf. arrêt 4P.275/2005 du 8 février 2006, consid. 4.6.1 et les arrêts cités). Dans le cas présent, l' art. 343 al. 4 CO ne s'applique pas, puisque la limite fixée par le droit fédéral est largement dépassée, le demandeur ayant introduit une action pour divers montants dépassant 300'000 fr. Il importe peu que les précédents juges aient dû appliquer la maxime d'office en vertu du droit cantonal de procédure, puisque la violation de ce dernier ne peut être invoquée dans le cadre de la procédure de recours en réforme, et que la défenderesse n'a pas fait valoir la violation de l'art. 29 de la loi cantonale dans le cadre du recours de droit public, qu'elle a déposé parallèlement à la présente procédure. Le moyen tiré de la violation de l' art. 343 al. 4 CO doit en conséquence être écarté.</w:t>
      </w:r>
    </w:p>
    <w:p>
      <w:r>
        <w:rPr>
          <w:b/>
        </w:rPr>
        <w:t>E. 2.2</w:t>
      </w:r>
    </w:p>
    <w:p>
      <w:r>
        <w:t>L' art. 8 CC répartit le fardeau de la preuve pour toutes les prétentions fondées sur le droit fédéral et détermine, sur cette base, laquelle des parties doit assumer les conséquences de l'échec de la preuve ( ATF 130 III 321 consid. 3.1 p. 323; 127 III 519 consid. 2a p. 522). On déduit également de l' art. 8 CC un droit à la preuve et à la contre-preuve ( ATF 129 III 18 consid. 2.6; 126 III 315 consid. 4a). En particulier, le juge enfreint cette disposition s'il tient pour exactes les allégations non prouvées d'une partie, nonobstant leur contestation par la partie adverse, ou s'il refuse toute administration de preuve sur des faits pertinents en droit ( ATF 130 III 591 consid. 5.4 p. 601 s.; 114 II 289 consid. 2a p. 291). En revanche, l' art. 8 CC ne prescrit pas quelles sont les mesures probatoires qui doivent être ordonnées ( ATF 127 III 519 consid. 2a p. 522), ni ne dicte au juge comment forger sa conviction ( ATF 128 III 22 consid. 2d p. 25; 127 III 519 consid. 2a p. 522). Il n'exclut ni l'appréciation anticipée des preuves ( ATF 129 III 18 consid. 2.6 p. 25; 127 III 520 consid. 2a p. 522), ni la preuve par indices ( ATF 114 II 289 consid. 2a p. 291). Au demeurant, lorsque l'appréciation des preuves convainc le juge qu'un fait est établi à satisfaction de droit ou réfuté, la question de la répartition du fardeau de la preuve ne se pose plus et le grief tiré de de la violation de l' art. 8 CC devient sans objet. Il s'agit alors d'une question d'appréciation des preuves, qui ne peut être soumise au Tribunal fédéral que par la voie du recours de droit public pour arbitraire (cf. ATF 127 III 519 consid. 2a p. 522; 122 III 219 consid. 3c p. 223).</w:t>
      </w:r>
    </w:p>
    <w:p>
      <w:r>
        <w:rPr>
          <w:b/>
        </w:rPr>
        <w:t>E. 2.3</w:t>
      </w:r>
    </w:p>
    <w:p>
      <w:r>
        <w:t>En l'espèce, sous le couvert de l' art. 8 CC , la défenderesse cherche à remettre en cause l'appréciation des preuves à laquelle la cour cantonale s'est livrée. En effet, les juges genevois ont retenu que le comportement du demandeur n'aurait eu aucune incidence sur la convention de résiliation du 27 juin 2003, qui représentait l'un des deux membres de l'alternative proposée, voire imposée, à l'employé par la défenderesse dans le cadre de la suppression de poste qui avait été décidée. En niant la causalité naturelle entre la violation d'une clause d'éthique et l'accord de résiliation, d'une façon qui lie le Tribunal fédéral en instance de réforme ( art. 63 al. 2 CO ), la cour cantonale pouvait se dispenser d'examiner en détail en quoi la violation du devoir d'informer l'employeur d'une prise de participation dans B.________ pourrait réduire le montant des indemnités de départ allouées. Au demeurant, la cour cantonale ne s'est pas focalisée sur l'absence d'indemnités de chômage en raison de la qualité d'étranger de l'employé concerné, mais s'est également référée à la position élevée de celui-ci dans la hiérarchie de la défenderesse, à la durée de l'engagement (une quinzaine d'années), ainsi qu'à la qualité et au rendement du travailleur dans l'intérêt de son employeur ("activité (...) sans tache et profitable"). La défenderesse ne peut ainsi pas, sous prétexte de l'application de l' art. 8 CC , revenir sur l'appréciation des preuves, notamment des témoignages, que la cour cantonale a effectuée, et que le Tribunal de céans a considérée comme résistant au grief d'arbitraire, dans l'arrêt rendu sur le recours de droit public parallèle. S'il est vrai que la cour cantonale a retenu par erreur que le demandeur n'était jamais devenu actionnaire de B.________, elle a implicitement corrigé cette méprise en soulignant qu'au moment de l'acquisition de B.________ par E.________, celle-ci en a payé le prix par échange d'une action B.________ contre trois cents des siennes. A cette occasion, le demandeur a reçu 315'000 titres E.________ représentant le 2,1% du capital social de cette dernière. Devant la controverse de savoir si une prise de participation à ce niveau engendrait un conflit d'intérêts, ou au contraire restait dans une tolérance compatible avec les règles éthiques de l'entreprise, et du fait de la négation du rapport de causalité naturelle entre la prétendue erreur dans laquelle se serait trouvée la défenderesse et l'accord de résiliation du 27 juin 2003, la méprise de la cour cantonale quant à la qualité du demandeur d'actionnaire de B.________ n'était pas décisive, soit une circonstance de fait qui échappe au reproche d'arbitraire, lequel ne peut être revu dans la présente procédure de recours en réforme.</w:t>
      </w:r>
    </w:p>
    <w:p>
      <w:r>
        <w:rPr>
          <w:b/>
        </w:rPr>
        <w:t>E. 3</w:t>
      </w:r>
    </w:p>
    <w:p>
      <w:r>
        <w:t>La défenderesse reproche ensuite aux précédents juges une violation des art. 23, 24 al. 1 ch. 4 et 28 CO. Sa critique tombe toutefois à faux, puisque la cour cantonale a nié toute relation de causalité naturelle, en fait, entre les vices du consentement invoqués et la convention de cessation des rapports de travail du 27 juin 2003. Comme la causalité naturelle est une condition nécessaire à la reconnaissance soit d'une erreur essentielle sur les motifs, soit d'un dol (cf. Schwenzer, Schweizerisches Obligationenrecht, Allgemeiner Teil, 3e éd., Berne 2003, n. 36.04 p. 236), son défaut, établi de manière soutenable, et confirmé par le Tribunal de céans dans l'arrêt rendu sur le recours de droit public parallèle, rend vaine l'argumentation développée par la défenderesse au titre de la violation des dispositions susmentionnées du droit fédéral.</w:t>
      </w:r>
    </w:p>
    <w:p>
      <w:r>
        <w:rPr>
          <w:b/>
        </w:rPr>
        <w:t>E. 4</w:t>
      </w:r>
    </w:p>
    <w:p>
      <w:r>
        <w:t>La défenderesse se plaint enfin de ce que la cour cantonale a considéré comme tardif le licenciement immédiat, survenu postérieurement à l'accord de résiliation du 27 juin 2003 et à la libération de l'employé de fournir ses prestations de travail, dès le 3 juillet 2003.</w:t>
      </w:r>
    </w:p>
    <w:p>
      <w:r>
        <w:rPr>
          <w:b/>
        </w:rPr>
        <w:t>E. 4.1</w:t>
      </w:r>
    </w:p>
    <w:p>
      <w:r>
        <w:t>Selon l' art. 337 al. 1 1 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28 consid. 4.1 p. 31, 213 consid. 3.1 p. 220; 127 III 351 consid. 4a p. 353).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en règle générale la violation d'une obligation découlant du contrat de travail ( ATF 130 III 28 consid. 4.1 p. 31, 213 consid. 3.1 p. 220 s.; 127 III 351 consid. 4a p. 354), comme par exemple le devoir de fidélité ( ATF 127 III 351 consid. 4a p. 354; 121 III 467 consid. 4d).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 C'est à l'employeur qui entend se prévaloir de justes motifs de licenciement immédiat de démontrer leur existence (arrêt 4C.365/2005 du 8 février 2006, consid. 6.1; cf. également Brunner/Bühler/Waeber/ Bruchez, Commentaire du contrat de travail, 3e éd., Lausanne 2004, n. 13 ad art. 337 CO ). Enfin, il faut rappeler que, sous certaines conditions restrictives, l'employeur peut, pour justifier un licenciement immédiat, se prévaloir des circonstances qui existaient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 ATF 127 III 310 consid. 4a et les arrêts cités). De plus, l'employeur doit notifier le licenciement immédiat dès qu'il a connu le juste motif dont il entend se prévaloir, ou, au plus tard, après un bref délai de réflexion; s'il tarde à réagir, il est présumé avoir renoncé au licenciement immédiat; à tout le moins, il donne à penser que la continuation des rapports de travail est possible jusqu'à la fin du délai de congé. La jurisprudence n'accorde ainsi qu'un court délai de réflexion à l'employeur ( ATF 130 III 28 consid. 4.4 p. 34; 127 III 310 consid. 4b p. 315) pour éviter d'induire en erreur le salarié quant à la continuation des rapports de travail (cf. ATF 127 III 310 consid. 4b p. 315 et les arrêts cités). Il convient de trouver un équilibre entre l'urgence impliquée par la notion de licenciement immédiat et l'obligation de prendre une décision mûrement réfléchie. La jurisprudence est fluctuante quant à la définition du délai de réflexion, mais un délai général de deux à trois jours ouvrables est présumé approprié; un délai supplémentaire n'est accordé à celui qui entend résilier le contrat que lorsque les circonstances particulières du cas concret exigent d'admettre une exception à la règle ( ATF 130 III 28 consid. 4.4 p. 34). Un délai de six jours a été considéré comme admissible par le Tribunal de céans dans les circonstances d'un cas particulier où la décision relevait d'un conseil d'administration composé de plusieurs membres (arrêt 4C.282/1994 du 21 juin 1995, reproduit in JAR 1997 p. 208, consid. 3b p. 210; cf. également arrêt 4C.260/1999 du 26 octobre 1999, reproduit in JAR 2000 p. 232, consid. 1b p. 233; plus récemment Aubert, Commentaire romand, n. 11 ad art. 337 CO ; Wyler, op. cit., p. 373). En fait, la doctrine et la jurisprudence ne mentionnent pas d'exemple d'un délai de réflexion supérieur à une semaine.</w:t>
      </w:r>
    </w:p>
    <w:p>
      <w:r>
        <w:rPr>
          <w:b/>
        </w:rPr>
        <w:t>E. 4.2</w:t>
      </w:r>
    </w:p>
    <w:p>
      <w:r>
        <w:t>En l'espèce, la défenderesse a considéré comme justes motifs de résiliation la violation par le demandeur du code d'éthique de l'entreprise, d'une part, et la négligence dans la surveillance de ses subordonnés, s'agissant des deux cas de détournements dans les bureaux régionaux de Jordanie et de Belgique.</w:t>
      </w:r>
    </w:p>
    <w:p>
      <w:r>
        <w:rPr>
          <w:b/>
        </w:rPr>
        <w:t>E. 4.2.1</w:t>
      </w:r>
    </w:p>
    <w:p>
      <w:r>
        <w:t>Concernant le premier moyen, la découverte de l'investissement du demandeur dans B.________ remonte au 23 juillet 2003, avant sa confirmation dans un rapport écrit du 4 août 2003. Comme le congé avec effet immédiat a été notifié au collaborateur par lettre du 10 septembre 2003, soit entre cinq et six semaines après la découverte du motif invoqué, le caractère tardif du licenciement est manifeste (cf. supra consid. 4.1 in fine). Il n'est ainsi pas nécessaire d'examiner plus avant la nature du reproche adressé au demandeur.</w:t>
      </w:r>
    </w:p>
    <w:p>
      <w:r>
        <w:rPr>
          <w:b/>
        </w:rPr>
        <w:t>E. 4.2.2</w:t>
      </w:r>
    </w:p>
    <w:p>
      <w:r>
        <w:t>Quant au détournement de 60'000 US$ opéré par le directeur régional de Jordanie, il a été découvert le 15 juillet 2003 et définitivement fixé par un rapport de deux réviseurs internes, le 28 juillet 2003. A nouveau, l'observation d'un délai de cinq à six semaines avant de notifier le licenciement immédiat s'avère manifestement tardif, et ceci même si la procédure interne de formation de la volonté collective de l'entreprise nécessitait un peu plus de temps que le délai de réflexion admis par la jurisprudence, compte tenu de la période des vacances. Il n'est donc pas nécessaire de vérifier plus avant la consistance du juste motif invoqué et d'examiner la diligence due par le directeur financier international dans la surveillance de ses huit subordonnés directs et, à travers eux, des responsables de plusieurs dizaines de bureaux locaux, répartis dans le monde. Quant aux malversations perpétrées au bureau de L.________, et portant sur 2 à 3 millions d'euros, le dossier cantonal ne contient aucune information suffisante, de sorte que la cour cantonale était fondée à ne pas entrer en matière sur le moyen allégué du licenciement immédiat pour juste motif.</w:t>
      </w:r>
    </w:p>
    <w:p>
      <w:r>
        <w:rPr>
          <w:b/>
        </w:rPr>
        <w:t>E. 5</w:t>
      </w:r>
    </w:p>
    <w:p>
      <w:r>
        <w:t>Compte tenu de ce qui précède, le recours en réforme doit être rejeté, dans la mesure de sa recevabilité.</w:t>
      </w:r>
    </w:p>
    <w:p>
      <w:r>
        <w:rPr>
          <w:b/>
        </w:rPr>
        <w:t>E. 6</w:t>
      </w:r>
    </w:p>
    <w:p>
      <w:r>
        <w:t>Comme la valeur litigieuse, selon les prétentions du demandeur à l'ouverture de l'action ( ATF 115 II 30 consid. 5b p. 41), dépasse 30'000 fr., la procédure n'est pas gratuite ( art. 343 al. 2 et 3 CO ). Les frais et dépens seront mis à la charge de la défenderesse, qui succombe (art. 156 al. 1 et 159 al. 1 OJ). A cet égard, il n'y a pas lieu de suivre le demandeur, qui "requiert (...) le Tribunal fédéral de sanctionner" la défenderesse parce que cette dernière aurait fait valoir des arguments "purement dilatoires". Sur ce point, la motivation du demandeur est confuse; il semblerait vouloir se plaindre d'une violation des règles de discipline au sens de l' art. 31 al. 2 OJ , mais sans l'exprimer de manière expresse d'une part, et en invoquant finalement l'application de l' art. 159 OJ d'autre part, ce qui laisse à entendre que l'argument tiré de la prétendue témérité de la défenderesse est totalement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