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4C.23/2004 vom 14. Dezember 2004</w:t>
      </w:r>
    </w:p>
    <w:p>
      <w:r>
        <w:t>Bundesgericht, 2004-12-14, FR</w:t>
      </w:r>
    </w:p>
    <w:p>
      <w:r>
        <w:rPr>
          <w:b/>
        </w:rPr>
        <w:t xml:space="preserve">Quelle: </w:t>
      </w:r>
      <w:r>
        <w:t>https://mcp.opencaselaw.ch/entscheid/bger_4C.23_2004</w:t>
      </w:r>
    </w:p>
    <w:p>
      <w:r>
        <w:t>FR: TF 4C.23/2004 du 14 décembre 2004</w:t>
      </w:r>
    </w:p>
    <w:p>
      <w:r>
        <w:t>IT: TF 4C.23/2004 del 14 dicembre 2004</w:t>
      </w:r>
    </w:p>
    <w:p>
      <w:pPr>
        <w:pStyle w:val="Heading2"/>
      </w:pPr>
      <w:r>
        <w:t>Regeste</w:t>
      </w:r>
    </w:p>
    <w:p>
      <w:r>
        <w:t>contrat d'entreprise; prix forfaitaire | Droit des contrats</w:t>
      </w:r>
    </w:p>
    <w:p>
      <w:pPr>
        <w:pStyle w:val="Heading2"/>
      </w:pPr>
      <w:r>
        <w:t>Erwägungen</w:t>
      </w:r>
    </w:p>
    <w:p>
      <w:r>
        <w:rPr>
          <w:b/>
        </w:rPr>
        <w:t>E. 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Il en va de même du recours joint ( art. 59 al. 2 et 3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Le recourant principal voit une violation de l' art. 8 CC dans le fait que la cour cantonale a retenu que le prix convenu par les parties pour l'ouvrage s'élevait à 400'000 fr., et non à 330'000 fr. comme il le prétend. II fait en outre valoir que la Cour civile a jugé contrairement aux pièces du dossier et a commis une inadvertance manifeste au sens de l' art. 63 al. 2 OJ . Enfin, pour étayer son point de vue, le défendeur reproduit longuement la teneur de certains allégués qu'il confronte avec les déterminations qu'ils ont suscitées.</w:t>
      </w:r>
    </w:p>
    <w:p>
      <w:r>
        <w:rPr>
          <w:b/>
        </w:rPr>
        <w:t>E. 2.1.1</w:t>
      </w:r>
    </w:p>
    <w:p>
      <w:r>
        <w:t>Pour toutes les prétentions relevant du droit privé fédéral (cf. ATF 125 III 78 consid. 3b), l' art. 8 CC , en l'absence d'une disposition spéciale contraire, répartit le fardeau de la preuve ( ATF 122 III 219 consid. 3c) et détermine, sur cette base, laquelle des parties doit assumer les conséquences de l'échec de la preuve ( ATF 126 III 189 consid. 2b). Cette norme ne règle cependant pas comment et sur quelles bases le juge peut forger sa conviction. En effet, lorsque l'appréciation des preuves convainc le juge de la réalité ou de l'inexistence d'un fait, la question de l'application de l' art. 8 CC ne se pose plus; seul le moyen tiré d'une appréciation arbitraire des preuves, à invoquer impérativement dans un recours de droit public, est alors recevable ( ATF 122 III 219 consid. 3c).</w:t>
      </w:r>
    </w:p>
    <w:p>
      <w:r>
        <w:rPr>
          <w:b/>
        </w:rPr>
        <w:t>E. 2.1.2</w:t>
      </w:r>
    </w:p>
    <w:p>
      <w:r>
        <w:t>Dans la mesure où le recourant principal entend remettre en cause les constatations de l'instance cantonale relatives au prix convenu par les parties, le moyen est irrecevable. II s'agit en effet d'une question de fait ( ATF 129 III 118 consid. 2.5), qui a résisté au grief d'appréciation arbitraire des preuves examiné dans l'instance de recours de droit public 4P.145/2004. A juste titre, le défendeur ne se prévaut pas d'une mauvaise répartition du fardeau de la preuve selon l' art. 8 CC .</w:t>
      </w:r>
    </w:p>
    <w:p>
      <w:r>
        <w:rPr>
          <w:b/>
        </w:rPr>
        <w:t>E. 2.2.1</w:t>
      </w:r>
    </w:p>
    <w:p>
      <w:r>
        <w:t>La jurisprudence n'admet l'existence d'une inadvertance manifeste que lorsque l'autorité cantonale a omis de prendre en considération une pièce déterminée, versée au dossier, ou l'a mal lue, s'écartant par mégarde de sa teneur exacte, en particulier de son vrai sens littéral ( ATF 115 II 399 consid. 2a; 109 II 159 consid. 2b; cf. arrêt 4C.149/1995 du 5 décembre 1995 consid. 3a, SJ 1996 p. 353 ss). L'autorité cantonale s'écarte, par mégarde, de la teneur exacte d'une pièce, par exemple, lorsqu'elle commet une erreur de lecture, ou lorsqu'elle ne prend pas en considération la relation évidente existant entre différentes pièces du dossier. L'inadvertance manifeste ne saurait cependant être confondue avec l'appréciation des preuves. Dès l'instant où une constatation de fait repose sur l'appréciation, même insoutenable, d'une preuve, d'un ensemble de preuves ou d'indices, une inadvertance est exclue (Jean-François Poudret, COJ II, n. 5.4 ad art. 63 OJ ).</w:t>
      </w:r>
    </w:p>
    <w:p>
      <w:r>
        <w:rPr>
          <w:b/>
        </w:rPr>
        <w:t>E. 2.2.2</w:t>
      </w:r>
    </w:p>
    <w:p>
      <w:r>
        <w:t>Comme le Tribunal fédéral l'a relevé dans l'arrêt rendu ce jour sur le recours de droit public précité, la cour cantonale a pris en compte plusieurs éléments du dossier pour arriver à la conclusion critiquée par le défendeur. Elle a en particulier identifié le problème résultant de la présence de deux documents consécutifs signés par les parties, lesquels indiquaient - apparemment - des prix différents de l'ouvrage. Pour retenir en définitive que ce prix avait été fixé à 400'000 fr. - et qu'il n'avait pas été modifié ultérieurement -, elle a procédé à une appréciation souveraine des preuves, laquelle ne peut pas être revue dans un recours en réforme, même par le biais du grief d'inadvertance manifeste.</w:t>
      </w:r>
    </w:p>
    <w:p>
      <w:r>
        <w:rPr>
          <w:b/>
        </w:rPr>
        <w:t>E. 2.3</w:t>
      </w:r>
    </w:p>
    <w:p>
      <w:r>
        <w:t>S'agissant du fardeau de l'allégation et du fardeau de la contestation des faits allégués, il s'agit de questions qui relèvent de l'application du droit de procédure cantonal, d'où leur irrecevabilité en instance de réforme. Le moyen est irrecevable dans toute son étendue.</w:t>
      </w:r>
    </w:p>
    <w:p>
      <w:r>
        <w:rPr>
          <w:b/>
        </w:rPr>
        <w:t>E. 3</w:t>
      </w:r>
    </w:p>
    <w:p>
      <w:r>
        <w:t>Par son recours joint, la demanderesse critique la conclusion de la cour cantonale selon laquelle le prix convenu constitue un prix forfaitaire au sens de l' art. 373 CO . II convient de trancher cette question cruciale, avant d'aborder les autres griefs soulevés dans les recours principal et joint.</w:t>
      </w:r>
    </w:p>
    <w:p>
      <w:r>
        <w:rPr>
          <w:b/>
        </w:rPr>
        <w:t>E. 3.1</w:t>
      </w:r>
    </w:p>
    <w:p>
      <w:r>
        <w:t>A teneur de l' art. 373 CO ,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(Theodor Bühler, Commentaire zurichois, n. 8 et n. 11 ad art. 373 CO ; François Chaix, Commentaire romand, n. 9 ad art. 373 CO ; Peter Gauch, Le contrat d'entreprise, adaptation française par Benoît Carron, ch. 900 p. 265; Gaudenz G. Zindel/Urs Pulver, Commentaire bâlois, 3e éd., n. 11 ad art. 373 CO ). La partie qui prétend à l'existence de prix ferme a la charge de la preuve (Droit de la Construction 2/2001 p. 80 no 261). En cas de doute, on ne présume pas une telle convention et le prix de l'ouvrage doit être déterminé d'après la valeur du travail ( art. 374 CO ; Gauch, op. cit., ch. 1014 p. 297). La doctrine et l'usage en matière de construction recommandent de convenir un prix forfaitaire sur la base de documents clairs et complets, notamment pour éviter les problèmes relatifs à la délimitation entre l'objet du contrat et les éventuelles commandes supplémentaires (cf. Norme SIA-118, art. 41 al. 2 et 40 al. 2; Gauch, op. cit., ch. 906 in fine p. 267). La présence d'un descriptif détaillé et de plans ne constituent cependant pas une condition nécessaire à la fixation d'un prix ferme: celui-ci peut en effet également résulter d'une estimation grossière des coûts (Gauch, op. cit., ch. 902 in medio p. 266).</w:t>
      </w:r>
    </w:p>
    <w:p>
      <w:r>
        <w:rPr>
          <w:b/>
        </w:rPr>
        <w:t>E. 3.2</w:t>
      </w:r>
    </w:p>
    <w:p>
      <w:r>
        <w:t>Dans leur contrat, les parties ont utilisé de manière univoque les termes de prix forfaitaire et elles ont ajouté que le prix convenu comprenait le renchérissement. Comme ces termes ont été choisis par deux parties, qui appartiennent dans le cas présent au même cercle de profession, il faut les comprendre dans leur sens technique ( ATF 122 III 426 consid. 5; Benedict Winiger, Commentaire romand, n. 27 ad art. 18 CO ). Dès lors, le prix fixé constituait à la fois un prix maximum et un prix minimum. Il a été retenu ( art. 63 al. 2 OJ ) que les documents sur lesquels se sont fondés les plaideurs pour arrêter le prix de l'ouvrage ont évolué au fil du temps, que les descriptifs de travaux n'étaient pas détaillés et que le plan financier établi par B.________ - arrêtant un coût très proche de celui convenu - concernait un projet comportant seulement 920 m3 en lieu et place des 1'255 m3 de la villa définitive. Ces éléments n'empêchaient pas les parties de prendre - à leurs risques et périls - la décision de fixer le 12 juillet 1993 un prix ferme pour la construction de la villa litigieuse. Au surplus, le contrat faisait expressément référence au plan de l'architecte du 2 juillet 1993 faisant état d'un volume de 1'180 m3. La décision commune de fixer un prix forfaitaire de 400'000 fr. pour un tel programme peut paraître déraisonnable, voire injustifiable sur un plan purement comptable. En vertu de la force obligatoire des contrats et sauf vice du consentement - non réalisé en l'espèce -, elle fonde cependant la loi des parties, qui ne peut plus être remise en cause.</w:t>
      </w:r>
    </w:p>
    <w:p>
      <w:r>
        <w:rPr>
          <w:b/>
        </w:rPr>
        <w:t>E. 3.3</w:t>
      </w:r>
    </w:p>
    <w:p>
      <w:r>
        <w:t>Par conséquent, le grief de la recourante par voie de jonction en relation avec la nature forfaitaire du prix de l'ouvrage n'est pas fondé. Le recours joint doit être rejeté sur ce point.</w:t>
      </w:r>
    </w:p>
    <w:p>
      <w:r>
        <w:rPr>
          <w:b/>
        </w:rPr>
        <w:t>E. 4</w:t>
      </w:r>
    </w:p>
    <w:p>
      <w:r>
        <w:t>Tant dans le recours principal que dans le recours joint, les parties critiquent - sous l'angle d'une violation de l' art. 343 CO (recte 374 CO) - le calcul auquel a procédé la cour cantonale en matière de surcoût découlant de l'augmentation du cubage du projet. Pour la recourante par voie de jonction, il conviendrait de faire supporter au défendeur un surcoût de 164'679 fr.: cette somme correspond à l'augmentation de 41,16% du projet entre des volumes de 889 m3 (au moment de la fixation du forfait de 400'000 fr.) et de 1'255 m3 (lors de la réalisation de la villa). Pour le recourant principal, aucun surcoût ne peut être mis à sa charge, dans la mesure où l'augmentation du volume entre la conclusion du contrat (1'180 m3) et la réalisation définitive (1'255 m3) ne résulte pas d'une demande de sa part, mais est imputable au seul entrepreneur ou à son architecte.</w:t>
      </w:r>
    </w:p>
    <w:p>
      <w:r>
        <w:rPr>
          <w:b/>
        </w:rPr>
        <w:t>E. 4.1</w:t>
      </w:r>
    </w:p>
    <w:p>
      <w:r>
        <w:t>Le caractère ferme du prix forfaitaire n'est pas absolu. L'art. 373 al. 2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 ATF 116 II 315 consid. 3). Les modifications de commande donnent droit à une augmentation du prix en cas de prestations supplémentaires de l'entrepreneur; cette rémunération se calcule sur la base de l' art. 374 CO (Bühler, op. cit., n. 16 ad art. 373 CO ; Chaix, op. cit., n. 10 ad art. 373 CO ; Gauch, op. cit., ch. 905 p. 266/267). Tel n'est pas seulement le cas lorsque la modification provient du maître, mais également lorsqu'elle émane de l'entrepreneur et qu'elle a été acceptée par le maître (arrêt 4C.375/1993 du 20 juin 1994 consid. 3, SJ 1995 p. 100). En pratique, il est difficile de déterminer si une modification de commande alléguée existe réellement ou si une prestation arguée de supplémentaire fait encore partie des prestations convenues à l'origine, raison pour laquelle le degré de précision du contrat a son importance (cf. supra consid. 3.1). Comme c'est l'entrepreneur qui entend déduire un droit à une rémunération supplémentaire, c'est lui qui supporte le fardeau de la preuve de la modification de commande et des frais supplémentaires en résultant (Chaix, op. cit., n. 36 ad art. 373 CO ; Gauch, op. cit., ch. 786 p. 233; Zindel/Pulver, op. cit., n. 39 ad art. 373 CO ).</w:t>
      </w:r>
    </w:p>
    <w:p>
      <w:r>
        <w:rPr>
          <w:b/>
        </w:rPr>
        <w:t>E. 4.2</w:t>
      </w:r>
    </w:p>
    <w:p>
      <w:r>
        <w:t>Au moment de la conclusion du contrat, les plans à la disposition des parties indiquaient un volume de 1'180 m3. L'accord intervenu entre celles-ci a ainsi porté sur un projet de cette ampleur; la cour cantonale l'a constaté souverainement (p. 18 et p. 32 du jugement déféré), ce qui empêche toute critique à ce sujet de la part de la recourante par voie de jonction. Il ne ressort pas des faits établis par l'autorité cantonale que le défendeur aurait - postérieurement à la conclusion du contrat - demandé une augmentation du programme de sa villa. II est par ailleurs établi que la demanderesse n'a appris le volume réel de la construction (1'255 m3) qu'à la suite de la lecture du rapport d'expertise judiciaire, raison pour laquelle elle n'a jamais informé la banque de l'existence de frais supplémentaires dus à des modifications du projet. Ainsi, faute de commandes supplémentaires de la part du maître, la demanderesse aurait pu démontrer que la modification - dont elle aurait été à l'origine - avait été acceptée par le défendeur. Or, dans la mesure où elle ignorait elle-même cette différence, elle ne pouvait requérir d'accord à ce sujet de son cocontractant. Dans ces circonstances particulières, il faut constater que les parties ont délibérément fixé le prix forfaitaire de l'ouvrage en fonction d'un programme de 1'180 m3 et qu'elles n'ont pas - à tout le moins de manière consciente - modifié ce volume dans un accord ultérieur. L'expert judiciaire a d'ailleurs qualifié la dernière augmentation du projet (6% sur l'ensemble) de minime, ce qui peut expliquer que les parties n'en aient pas eu conscience au moment des faits.</w:t>
      </w:r>
    </w:p>
    <w:p>
      <w:r>
        <w:rPr>
          <w:b/>
        </w:rPr>
        <w:t>E. 4.3</w:t>
      </w:r>
    </w:p>
    <w:p>
      <w:r>
        <w:t>Puisque l'existence d'une modification de commande relative à l'augmentation de 6% du volume par rapport à ce qui avait été convenu lors de la signature du contrat n'a pas été démontrée, le principe du prix forfaitaire s'applique en plein. Autrement dit, l'entrepreneur (la demanderesse) n'a droit à aucune rémunération supplémentaire de ce chef. La Cour civile a violé le droit fédéral en faisant supporter au défendeur un surcoût de 34'000 fr. en raison de l'augmentation du cubage SIA. Le recours principal sera donc admis sur ce point et le recours joint rejeté.</w:t>
      </w:r>
    </w:p>
    <w:p>
      <w:r>
        <w:rPr>
          <w:b/>
        </w:rPr>
        <w:t>E. 5</w:t>
      </w:r>
    </w:p>
    <w:p>
      <w:r>
        <w:t>Au vu de ce qui précède, le défendeur doit verser à la demanderesse la différence entre le prix forfaitaire (400'000 fr.) et les sommes versées au moyen du crédit de construction, par 335'648 fr., à savoir 64'352 fr., conformément à la décision entreprise (cf. consid. 2 et 3 ci-dessus). De même, il doit la somme de 688 fr. 10 à titre de différence entre le total des commandes supplémentaires admises par les parties et les versements déjà effectués (point non critiqué dans la présente instance). En revanche, le défendeur est libéré de tout paiement en relation avec l'augmentation du volume entre la signature du contrat et la réalisation de l'ouvrage (cf. consid. 4 ci-dessus). A juste titre, le taux ainsi que la date de départ des intérêts moratoires ne sont pas critiqués. Dès lors, le défendeur sera condamné à verser à la demanderesse la somme de 65'040 fr. 10 (64'352 fr. + 688 fr.10) avec intérêts à 5% dès le 13 décembre 1995.</w:t>
      </w:r>
    </w:p>
    <w:p>
      <w:r>
        <w:rPr>
          <w:b/>
        </w:rPr>
        <w:t>E. 6</w:t>
      </w:r>
    </w:p>
    <w:p>
      <w:r>
        <w:t>Le défendeur a obtenu partiellement gain de cause dans son recours principal. Il obtient une réduction d'environ 35% du montant dont il avait été déclaré débiteur en instance cantonale. En revanche, la demanderesse succombe entièrement dans son recours joint. A considérer le résultat de la procédure, il se justifie de répartir l'émolument judiciaire global, fixé à 11'500 fr., à raison de 3'000 fr. à charge du recourant principal et de 8'500 fr. à charge de la recourante par voie de jonction ( art. 156 al. 1 et 3 OJ ). Après compensation des dépens, la recourante par voie de jonction paiera à ce titre au recourant principal une indemnité réduite ( art. 159 al. 1 et 3 OJ ). Vu l'issue de l'instance, il appartiendra à la cour cantonale de statuer à nouveau sur le sort des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