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4C.237/2006 vom 24. November 2006</w:t>
      </w:r>
    </w:p>
    <w:p>
      <w:r>
        <w:t>Bundesgericht, 2006-11-24, FR</w:t>
      </w:r>
    </w:p>
    <w:p>
      <w:r>
        <w:rPr>
          <w:b/>
        </w:rPr>
        <w:t xml:space="preserve">Quelle: </w:t>
      </w:r>
      <w:r>
        <w:t>https://mcp.opencaselaw.ch/entscheid/bger_4C.237_2006</w:t>
      </w:r>
    </w:p>
    <w:p>
      <w:r>
        <w:t>FR: TF 4C.237/2006 du 24 novembre 2006</w:t>
      </w:r>
    </w:p>
    <w:p>
      <w:r>
        <w:t>IT: TF 4C.237/2006 del 24 novembre 2006</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w:t>
      </w:r>
    </w:p>
    <w:p>
      <w:r>
        <w:t>Le recours en réforme peut être exercé pour violation du droit fédéral, à l'exclusion des droits constitutionnels et du droit cantonal ( art. 43 al. 1 OJ ; ATF 127 III 248 consid. 2c et les arrêts cités). Le Tribunal fédéral conduit son raisonnement juridique sur la base des faits constatés dans la décision attaquée, à moins que des dispositions fédérales en matière de preuve n'aient été violées, qu'il y ait lieu de rectifier des constatations reposant sur une inadvertance manifeste ou qu'il soit nécessaire de compléter les constatations de l'autorité cantonale parce que celle-ci n'a pas tenu compte de faits pertinents, régulièrement allégués et clairement établis ( art. 63 al. 2, 64 OJ ; ATF 130 III 102 consid. 2.2 p. 106, 136 consid. 1.4 p. 140). Pour le surplus, la partie recourante n'est pas autorisée à critiquer les constatations de fait ni à alléguer des faits qui n'ont pas été constatés ( art. 55 al. 1 let . c OJ).</w:t>
      </w:r>
    </w:p>
    <w:p>
      <w:r>
        <w:t>Le Tribunal fédéral n'est pas lié par l'argumentation des parties ( art. 63 al. 1 OJ ) et il apprécie librement la portée juridique des faits (art. 43 al. 4, 63 al. 3 OJ).</w:t>
      </w:r>
    </w:p>
    <w:p>
      <w:r>
        <w:rPr>
          <w:b/>
        </w:rPr>
        <w:t>E. 2</w:t>
      </w:r>
    </w:p>
    <w:p>
      <w:r>
        <w:t>Le demandeur se plaint d'une violation des art. 328 et 336 al. 1 let . d CO, concernant respectivement l'obligation de l'employeur de protéger la personnalité du travailleur et l'interdiction de résilier le contrat de travail au motif que l'autre partie élève de bonne foi des prétentions fondées sur ce contrat. Sur de très nombreux points, le demandeur se fonde sur une version des faits autre que celle retenue par le Tribunal cantonal, sans qu'il ne se réfère à l'un des cas de rectification ou de complètement de l'état de faits prévus par les art. 63 al. 2 ou 64 OJ . Le Tribunal fédéral n'entre pas en matière sur ces moyens. En outre, l'argumentation présentée est à ce point désordonnée et peu claire que l'on parvient difficilement à saisir quel principe, en relation avec ces dispositions, est éventuellement violé. La Cour de cassation civile a prétendument « violé le droit en retenant que l'employeur avait valablement motivé le congé par l'existence de problèmes relationnels du travailleur ». Cela semble signifier que le congé ne pouvait pas être donné en raison des problèmes relationnels du demandeur car ceux-ci étaient imputables à l'attitude de l'employeur qui avait manqué de considération envers lui et l'avait insuffisamment soutenu et injuste-ment traité. Néanmoins, la recevabilité du recours peut rester indécise car celui-ci doit de toute façon être rejeté.</w:t>
      </w:r>
    </w:p>
    <w:p>
      <w:r>
        <w:rPr>
          <w:b/>
        </w:rPr>
        <w:t>E. 3</w:t>
      </w:r>
    </w:p>
    <w:p>
      <w:r>
        <w:t>Dans deux arrêts récents ( ATF 132 III 115 consid. 2 p. 116; 131 III 535 consid. 4 p. 537), le Tribunal fédéral a rappelé les principes ci-après relatifs au licenciement abusif.</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(arrêt 4C.174/2004 du 5 août 2004, consid. 2.1; ATF 127 III 86 consid. 2a). Le droit fondamental de chaque cocontractant de mettre unilatéralement fin au contrat est cependant limité par les dispositions sur le congé abusif (art. 336 et ss CO; ATF 130 III 699 consid. 4.1).</w:t>
      </w:r>
    </w:p>
    <w:p>
      <w:r>
        <w:t>L'énumération de l' art. 336 al. 1 CO n'est pas exhaustive et un abus du droit de résiliation peut se révéler aussi dans d'autres situations qui apparaissent comparables, par leur gravité, aux hypothèses expressément visées (arrêt précité 4C.174/2004, ibidem; ATF 125 III 70 consid. 2a; 123 III 246 consid. 3b). Il appartient à la personne licenciée d'apporter la preuve du caractère abusif du licenciement ( ATF 123 III 246 ), au besoin sur la base d'un faisceau d'indices convergents (arrêt 4C.404/2005 du 10 mars 2006, consid. 3.2).</w:t>
      </w:r>
    </w:p>
    <w:p>
      <w:r>
        <w:t>Selon l' art. 336 al. 1 let d CO, le congé est abusif lorsqu'il est donné par une partie parce que l'autre partie fait valoir de bonne foi des prétentions résultant du contrat de travail. La cour cantonale ne s'est pas expressément prononcée sur l'application de cette disposition; elle s'est bornée à constater que selon les premiers juges, le licenciement n'avait pas été décidé parce que le demandeur avait fait valoir de bonne foi des prétentions résultant du rapport de travail.</w:t>
      </w:r>
    </w:p>
    <w:p>
      <w:r>
        <w:t>L' art. 336 al. 1 let . d CO peut s'appliquer lorsque l'employé fait valoir le droit au respect de sa personnalité qui lui est conféré par l' art. 328 CO (arrêt 4C.129/2003 du 5 septembre 2003, consid. 4.2). Cette disposition protège la personnalité du travailleur. Elle prohibe les actes de mobbing ou harcèlement psychologique, lequel se définit comme un enchaînement de propos ou d'agissements hostiles, répétés fréquemment pendant une période assez longue, par lesquels un ou plusieurs individus cherchent à isoler, marginaliser ou exclure une personne sur son lieu de travail. Il n'y a toutefois pas harcèlement psychologique du seul fait qu'un conflit existe dans les relations professionnelles ou qu'il règne une mauvaise ambiance de travail, ni du fait qu'un membre du personnel serait invité - même de façon pressante, répétée, le cas échéant sous la menace de sanctions disciplinaires ou d'une procédure de licenciement - à se conformer à ses obligations résultant d'un rapport de travail, ou encore du fait qu'un supérieur hiérarchique n'aura pas satisfait pleinement et toujours aux devoirs qui lui incombent à l'égard de ses collaborateurs (arrêt précité 4C.404/2005, consid. 3.2).</w:t>
      </w:r>
    </w:p>
    <w:p>
      <w:r>
        <w:t>Le harcèlement psychologique, à titre d'atteinte à la personnalité du travailleur, peut donner lieu à une indemnisation si sa gravité le justifie. Toutefois, par lui-même, il ne rend pas la résiliation des rapports de travail abusive; celle-ci ne le devient que si, par exemple, elle intervient à cause d'une baisse des prestations du travailleur qui est la conséquence du harcèlement ( ATF 125 III 70 ). L'employeur qui tolère un harcèlement viole les devoirs imposés par l' art. 328 CO et il n'est pas admis à se prévaloir, pour justifier la résiliation, des conséquences de sa propre violation du contrat.</w:t>
      </w:r>
    </w:p>
    <w:p>
      <w:r>
        <w:rPr>
          <w:b/>
        </w:rPr>
        <w:t>E. 4</w:t>
      </w:r>
    </w:p>
    <w:p>
      <w:r>
        <w:t>Il convient donc d'examiner si, compte tenu des circonstances de l'espèce ( ATF 132 V 115 consid. 2.5), la défenderesse a abusivement résilié le contrat de travail qui la liait au demandeur.</w:t>
      </w:r>
    </w:p>
    <w:p>
      <w:r>
        <w:rPr>
          <w:b/>
        </w:rPr>
        <w:t>E. 4.1</w:t>
      </w:r>
    </w:p>
    <w:p>
      <w:r>
        <w:t>Selon les constatations cantonales relatives aux motifs du congé, lesquelles lient le Tribunal fédéral ( ATF 130 III 699 consid. 4.1), l'employeuse a licencié le demandeur notamment en raison de son comportement inadéquat envers les collègues et les supérieurs. Dès 1999, le demandeur a reçu plusieurs avertissements en raison de ce comportement. Ainsi, dans un projet de certificat de travail daté du 3 novembre 1999, le service du personnel relevait que le demandeur « avait un comportement trop expansif, que ses commentaires à tout propos pouvaient engendrer des conflits et des tensions, qu'il était parfois désobligeant et que ses nerfs le trahissaient ». Un autre document intitulé « appréciation de la qualité du travail des temporaires », établi le 24 février 2000, indique que le demandeur « devrait s'abstenir de faire des commentaires inopportuns ». Au début de l'année 2002, il lui a été demandé d'améliorer son comportement. D'autres avertissements ont suivi en raison des problèmes rencontrés avec l'équipe de nettoyeurs externes du samedi matin; on demandait alors au demandeur de traiter ses collègues et les nettoyeurs externes avec respect et considération.</w:t>
      </w:r>
    </w:p>
    <w:p>
      <w:r>
        <w:t>La cour cantonale a considéré que la chronologie de ces avertissements démontrait que les difficultés d'ordre relationnel reprochées au recourant étaient apparues dès 1999, soit bien avant que ne surviennent ses problèmes avec l'entreprise de nettoyage externe en 2003. Ces difficultés ne pouvaient dès lors pas être imputées à une éventuelle omission de la défenderesse relative à des mesures qu'il aurait fallu adopter pour remédier aux difficultés que le demandeur rencontrait avec les nettoyeurs externes le samedi matin.</w:t>
      </w:r>
    </w:p>
    <w:p>
      <w:r>
        <w:t>Le demandeur soutient que l'on exagère l'importance et la gravité des critiques élevées au sujet de son attitude puisqu'il a pu être engagé de manière fixe en 2000, puis promu au rang de nettoyeur de production le 1er mai 2002, soit postérieurement à certains de ces avertissements.</w:t>
      </w:r>
    </w:p>
    <w:p>
      <w:r>
        <w:t>Cet argument ne convainc pas. En effet, les compétences professionnelles du recourant n'ont pas été mises en doute et l'intimée pouvait raisonnablement espérer que les avertissements donnés porteraient leurs fruits en ce sens que le recourant améliorerait son attitude. En outre, toujours selon l'état de fait qui lie le Tribunal fédéral, deux autres avertissements ont été signifiés après la promotion dont le demandeur se prévaut, soit le 12 mars et le 8 avril 2003, pour lui demander de changer de comportement.</w:t>
      </w:r>
    </w:p>
    <w:p>
      <w:r>
        <w:t>Enfin, contrairement à l'opinion du demandeur, il importe peu que son attitude ait été jugée bonne en janvier 2004. Cette appréciation isolée, certes favorable, ne suffit pas à infirmer l'impression générale qui est issue d'observations renouvelées durant une période prolongée. De nouveaux incidents sont d'ailleurs survenus après cette date. Une altercation est survenue avec l'un des employés en février 2004, puis une discussion houleuse s'est produite entre le demandeur et son chef, le 29 avril 2004, au cours de laquelle celui-là a qualifié la direction de «bande d'incapables».</w:t>
      </w:r>
    </w:p>
    <w:p>
      <w:r>
        <w:t>Ainsi, dans les faits constatés par la Cour de cassation civile, on ne discerne aucune situation de harcèlement en raison de laquelle le congé devrait être jugé abusif.</w:t>
      </w:r>
    </w:p>
    <w:p>
      <w:r>
        <w:rPr>
          <w:b/>
        </w:rPr>
        <w:t>E. 4.2</w:t>
      </w:r>
    </w:p>
    <w:p>
      <w:r>
        <w:t>Selon le demandeur, la cour cantonale a retenu à tort que le congé a été donné en raison de son attitude inacceptable à l'égard de Kücük, d'une part, et que la défenderesse a pris les mesures qui lui incombaient en vue de désamorcer le conflit entre ces deux employés, d'autre part. Il fait valoir que l'employeuse ne pouvait pas se contenter des avertissements donnés et qu'elle aurait dû rechercher d'autres solutions telles qu'un changement d'équipe pour l'un ou l'autre des intéressés.</w:t>
      </w:r>
    </w:p>
    <w:p>
      <w:r>
        <w:t>Cette argumentation ne repose pas sur l'état de faits déterminant. En outre, la Cour de cassation civile n'a pas imputé au demandeur la responsabilité exclusive de l'altercation survenue entre les deux employés et elle n'a pas non plus retenu que le licenciement eût sa cause dans l'attitude inacceptable du demandeur envers ce collaborateur. La Cour s'est bornée à mentionner que le témoignage de Kücük, corroboré par les autres éléments du dossier, rendait compte des réactions excessives du demandeur.</w:t>
      </w:r>
    </w:p>
    <w:p>
      <w:r>
        <w:t>L'altercation confirme l'existence des difficultés relationnelles du demandeur, lesquelles, on l'a vu, ont fait l'objet d'avertissements réitérés. Dans ces conditions, on ne saurait reprocher à l'employeuse de n'avoir pas recherché d'autres solutions, telles que le déplacement de l'un des intéressés, alors que les problèmes relationnels du demandeur dépassaient largement le cadre d'un conflit bilatéral avec un autre employé. Là encore, on ne discerne aucune violation du droit fédéral dans le raisonnement de la cour cantonale.</w:t>
      </w:r>
    </w:p>
    <w:p>
      <w:r>
        <w:rPr>
          <w:b/>
        </w:rPr>
        <w:t>E. 4.3</w:t>
      </w:r>
    </w:p>
    <w:p>
      <w:r>
        <w:t>En ce qui concerne la mise au concours d'un nouveau poste de responsable des installations sanitaires, la Cour de cassation civile a considéré de manière à lier le Tribunal fédéral que la personne recherchée occuperait notamment la fonction de répondant pour les entreprises de nettoyage externes le samedi matin, fonction jusque là assumée par le demandeur, et que celui-ci n'avait pas le profil requis pour occuper ce poste, raison pour laquelle il ne figurait pas sur la liste des destinataires de la mise au concours de ce nouveau poste; la procédure suivie pour la mise au concours ne constituait ni une violation de ses droits ni une mesure de harcèlement psychologique.</w:t>
      </w:r>
    </w:p>
    <w:p>
      <w:r>
        <w:t>Le demandeur soutient que la défenderesse aurait dû l'informer de la création d'un nouveau poste et qu'il était fondé à réagir vivement et à exprimer sa colère pour avoir été mis à l'écart, cette réaction devant être comprise comme une demande de le respecter dans sa personne et son travail.</w:t>
      </w:r>
    </w:p>
    <w:p>
      <w:r>
        <w:t>On peut admettre, avec la cour cantonale, que le demandeur n'avait pas à figurer sur la liste des destinataires de la mise au concours d'un poste pour lequel il n'avait pas les capacités requises. En revanche, le travailleur a, dans certaines circonstances, le droit d'être informé des modifications ou restrictions de son activité et l'omission de l'employeur de lui en parler au préalable peut violer l' art. 328 al. 1 CO , notamment lorsque l'employé exerce ses fonctions depuis très longtemps ( ATF 110 II 172 ).</w:t>
      </w:r>
    </w:p>
    <w:p>
      <w:r>
        <w:t>L'état de fait de l'arrêt attaqué mentionne que la création de ce nouveau poste aurait eu une incidence sur les fonctions du demandeur mais on en ignore l'étendue. Il apparaît en effet que celui-ci avait d'autres fonctions, notamment celle de coordonner les activités de nettoyage en cas d'absence du contremaître et d'encadrer les nouveaux nettoyeurs. En outre, il ressort de l'état de fait que le demandeur n'occupait le poste de nettoyeur que depuis mai 2002, de sorte qu'au vu de la jurisprudence précitée, la mise en place au printemps 2004 d'une nouvelle organisation de nettoyage, empiétant quelque peu sur son domaine d'activité, ne présente ni le caractère de gravité ni l'intensité nécessaires pour admettre une atteinte à la personnalité du demandeur selon l' art. 328 al. 1 CO . Enfin, même si l'on devait retenir que le demandeur avait le droit d'être informé et qu'il a pu ressentir sa mise à l'écart comme une mesure vexatoire, force est de constater que le fait de traiter la direction de « bande d'incapables » et de menacer son chef de porter plainte contre lui dépasse le cadre des prétentions élevées de bonne foi selon l'art. 336 al. 1 lit. d CO. Le demandeur échoue donc à mettre en évidence un congé abusif selon l' art. 336 al. 1 CO .</w:t>
      </w:r>
    </w:p>
    <w:p>
      <w:r>
        <w:rPr>
          <w:b/>
        </w:rPr>
        <w:t>E. 5</w:t>
      </w:r>
    </w:p>
    <w:p>
      <w:r>
        <w:t>La défenderesse a établi un certificat de travail selon lequel le demandeur « s'est acquitté des tâches qui lui ont été confiées et a fourni un service de qualité ». Sur la base de l' art. 330a CO , le demandeur réclame la correction de ce document qui, à son avis, ne rend pas compte de ce qu'il était très capable et très exigeant dans la qualité de son travail. Cependant, il ne propose aucun texte.</w:t>
      </w:r>
    </w:p>
    <w:p>
      <w:r>
        <w:t>Ce grief n'est pas recevable, faute de conclusions tendant à l'établissement d'un nouveau certificat de travail ( art. 55 al. 1 let. b OJ ; arrêt 4C. 473/2004 du 6 avril 2005, consid. 9). Au demeurant, les précédents juges ont rappelé de manière exacte les principes applicables à la rédaction d'un certificat de travail et ils ont constaté que les appréciations de la défenderesse relatives à la conduite du demandeur et à la qualité de son travail sont véridiques. La Cour de cassation civile n'a donc pas violé la disposition invoquée.</w:t>
      </w:r>
    </w:p>
    <w:p>
      <w:r>
        <w:rPr>
          <w:b/>
        </w:rPr>
        <w:t>E. 6</w:t>
      </w:r>
    </w:p>
    <w:p>
      <w:r>
        <w:t>Le recours en réforme se révèle privé de fondement, dans la mesure où les griefs présentés sont recevables. La procédure du recours en réforme n'est pas gratuite car le montant de la demande, qui détermine la valeur litigieuse selon l' art. 343 al. 2 CO , était supérieur au plafond de 30'000 fr. prévu par cette disposition ( ATF 122 III 495 consid. 4; 115 II 30 consid. 5b p. 41). A titre de partie qui succombe, le demandeur doit donc acquitter l'émolument judiciaire et les dépens auxquels l'autre partie peut prétendre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