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4C.237/2001 vom 8. Oktober 2001</w:t>
      </w:r>
    </w:p>
    <w:p>
      <w:r>
        <w:t>Bundesgericht, 2001-10-08, DE</w:t>
      </w:r>
    </w:p>
    <w:p>
      <w:r>
        <w:rPr>
          <w:b/>
        </w:rPr>
        <w:t xml:space="preserve">Quelle: </w:t>
      </w:r>
      <w:r>
        <w:t>https://mcp.opencaselaw.ch/entscheid/bger_4C.237_2001</w:t>
      </w:r>
    </w:p>
    <w:p>
      <w:r>
        <w:t>FR: TF 4C.237/2001 du 8 octobre 2001</w:t>
      </w:r>
    </w:p>
    <w:p>
      <w:r>
        <w:t>IT: TF 4C.237/2001 del 8 ottobre 2001</w:t>
      </w:r>
    </w:p>
    <w:p>
      <w:pPr>
        <w:pStyle w:val="Heading2"/>
      </w:pPr>
      <w:r>
        <w:t>Regeste</w:t>
      </w:r>
    </w:p>
    <w:p>
      <w:r>
        <w:t>Haftpflichtrecht</w:t>
      </w:r>
    </w:p>
    <w:p>
      <w:pPr>
        <w:pStyle w:val="Heading2"/>
      </w:pPr>
      <w:r>
        <w:t>Erwägungen</w:t>
      </w:r>
    </w:p>
    <w:p>
      <w:r>
        <w:rPr>
          <w:b/>
        </w:rPr>
        <w:t>E. 1</w:t>
      </w:r>
    </w:p>
    <w:p>
      <w:r>
        <w:t>Die Berufung ist - von hier nicht gegebenen Ausnahmen abgesehen - erst gegen Endentscheide der oberen kantonalen Gerichte zulässig ( Art. 48 Abs. 1 OG ). Nach Art. 48 Abs. 3 OG bezieht sich die Berufung gegen den Endentscheid auch auf die ihm vorausgegangenen Entscheide, soweit diese nicht gemäss Art. 49 OG schon früher weiterziehbar waren oder nach Art. 50 OG weitergezogen und beurteilt worden sind ( BGE 127 III 351 E. 1a S. 352). Ein berufungsfähiger Endentscheid liegt vor, wenn das kantonale Gericht materiell in der Sache entscheidet; ein solcher Entscheid verbietet endgültig, dass der gleiche Anspruch zwischen den Parteien nochmals geltend gemacht wird ( BGE 122 III 92 E. 2a S. 94). Mit der teilweisen Gutheissung der Klage hat die Vorinstanz als letzte kantonale Instanz einen Endentscheid gefällt, gegen den die Berufung zulässig ist. Da der Zwischenentscheid vom 24. August 1999 nicht angefochten wurde, steht einem Eintreten auf die Berufung auch insoweit nichts entgegen, als sie sich gegen diesen Zwischenentscheid richtet.</w:t>
      </w:r>
    </w:p>
    <w:p>
      <w:r>
        <w:rPr>
          <w:b/>
        </w:rPr>
        <w:t>E. 2</w:t>
      </w:r>
    </w:p>
    <w:p>
      <w:r>
        <w:t>a)Die Beklagte rügt als Verletzung von Bundesrecht allein, die Vorinstanz habe sie zu Unrecht als Tierhalterin qualifiziert und sie habe eventuell den Entlastungsbeweis zu Unrecht nicht als erbracht angesehen. b) Für den von einem Tier angerichteten Schaden haftet, wer dieses hält ( Art. 56 OR ). Tierhalter ist danach, wer die tatsächliche Herrschaft über ein Tier ausübt ( BGE 115 II 237 E. 2c S. 245, BGE 104 II 23 E. 2a S. 23), auch wenn er die Beaufsichtigung des Tieres zeitweilig einer Hilfsperson anvertraut hat ( BGE 110 II 136 E. 1 S. 138). Dabei ist das dauerhafte wirtschaftliche Interesse oder der Nutzen (auch ideeller Art) von entscheidender Bedeutung, um die Tierhalterin von der Hilfsperson abzugrenzen ( BGE 67 II 119 E. 2 S. 122, Brehm, Berner Kommentar N 15 zu Art. 56 OR , Oftinger/Stark. Schweizerisches Haftpflichtrecht Bd. II/1, S. 372 § 21 N 38 /44). Eine Mehrzahl von Haltern ist denkbar, wenn sämtliche Personen die Herrschaft über das Tier ausüben und ein dauerhaftes Interesse daran haben (Brehm, a.a.O. N 28 zu Art. 56 OR ). c) Nach den Feststellungen der Vorinstanz übte die Beklagte die tatsächliche Herrschaft über das Pferd "Nora" und dessen Fohlen während ihrer Sommerferien von fünfwöchiger Dauer aus. Die Beklagte nahm das Pferd in Obhut, entschied selbständig über die Art der Unterbringung und war während der Ferien allein für dessen Betreuung und Pflege verantwortlich. Die Beklagte hatte den Nutzen am Pferd "Nora", weil sie dieses jederzeit ausreiten konnte. Nach den Feststellungen der kantonalen Instanzen erteilten die Eigentümer des Pferdes der Beklagten keinerlei Weisungen, da die Beklagte im Umgang mit Pferden geübt war. Daraus ist zu schliessen, dass die Beklagte trotz ihres jugendlichen Alters von 15 Jahren über ausreichende Erfahrung im Umgang mit Pferden verfügte und daher in der Lage war, die von einem Tierhalter geforderte Sorgfalt anzuwenden und insbesondere auch in Sicherheitsfragen entscheiden zu können. Der Beklagten kann nicht gefolgt werden, wenn sie ihre Tierhaltereigenschaft in Frage stellt.</w:t>
      </w:r>
    </w:p>
    <w:p>
      <w:r>
        <w:rPr>
          <w:b/>
        </w:rPr>
        <w:t>E. 3</w:t>
      </w:r>
    </w:p>
    <w:p>
      <w:r>
        <w:t>a) Nach Art. 56 Abs. 1 OR wird der Halter von seiner Haftung befreit, wenn er beweist, dass er die nach den Umständen gebotene Sorgfalt in der Verwahrung und Beaufsichtigung des Tieres beobachtet hat, oder dass der Schaden auch bei Anwendung dieser Sorgfalt eingetreten wäre. An den Entlastungsbeweis sind strenge Anforderungen zu stellen ( BGE 110 II 136 E. 2a S. 139, 102 II 232 E. 1 S. 1 S. 235 mit Hinweisen, Oftinger/Stark, a.a.O. S. 396, Brehm, a.a.O. 52 ff zu Art. 56 OR ). Die konkreten Sorgfaltspflichten richten sich in erster Linie nach geltenden Sicherheits- und Unfallverhütungsvorschriften; fehlen gesetzliche oder reglementarische Vorschriften und haben auch private Verbände keine allgemein anerkannten Vorschriften erlassen, so ist zu prüfen, welche Sorgfalt nach der Gesamtheit der konkreten Umstände geboten ist ( BGE 126 III 14 E. 1b S. 16, 102 II 232 E. 1a S. 236). b) Das Führen eines Pferdes am Zügel ermöglicht im Allgemeinen dem Begleiter eines Reitanfängers die direkte Kontrolle über das Tier und ersetzt die fehlende Kontrolle des Anfängers über das Pferd. Die Vorinstanz hat bundesrechtskonform erkannt, dass die Beklagte unberechenbare Reaktionen und insbesondere Ausreissversuche des Pferdes hätte verhindern können, wenn sie das Pferd am Zügel geführt hätte. Mit dieser Massnahme hätte die Beklagte das richtige Mass zwischen Bewegungsfreiheit der Reiterin im Rahmen einer Anfänger-Lektion und ihrer Kontrolle über das Pferd gewährleisten können, ohne massgebliche Nachteile in Kauf nehmen zu müssen. Die Vorsichtsmassnahme wäre der Beklagten umso eher zumutbar gewesen, als sie trotz des gutmütigen Charakters der Stute mit einer schreckhaften Reaktion des Pferdes und dessen Stalldrang rechnen musste, zumal sie wusste, dass das Fohlen im nahegelegenen Stall untergebracht war. Die Vorinstanz hat keine Bundesrechtsnormen verletzt, wenn sie erkannte, dass die Beklagte die nach den Umständen gebotene Sorgfalt unbeachtet liess, indem sie die Zügel losliess und damit die Klägerin einer erhöhten Unfallgefahr aussetzte. 4.-Die Berufung ist als unbegründet abzuweisen.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