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4C.236/2006 vom 2. November 2006</w:t>
      </w:r>
    </w:p>
    <w:p>
      <w:r>
        <w:t>Bundesgericht, 2006-11-02, FR</w:t>
      </w:r>
    </w:p>
    <w:p>
      <w:r>
        <w:rPr>
          <w:b/>
        </w:rPr>
        <w:t xml:space="preserve">Quelle: </w:t>
      </w:r>
      <w:r>
        <w:t>https://mcp.opencaselaw.ch/entscheid/bger_4C.236_2006</w:t>
      </w:r>
    </w:p>
    <w:p>
      <w:r>
        <w:t>FR: TF 4C.236/2006 du 2 novembre 2006</w:t>
      </w:r>
    </w:p>
    <w:p>
      <w:r>
        <w:t>IT: TF 4C.236/2006 del 2 novembre 2006</w:t>
      </w:r>
    </w:p>
    <w:p>
      <w:pPr>
        <w:pStyle w:val="Heading2"/>
      </w:pPr>
      <w:r>
        <w:t>Regeste</w:t>
      </w:r>
    </w:p>
    <w:p>
      <w:r>
        <w:t>contrat de travail; indemnité pour licenciement abusif; reprise de dette | Droit des contrats</w:t>
      </w:r>
    </w:p>
    <w:p>
      <w:pPr>
        <w:pStyle w:val="Heading2"/>
      </w:pPr>
      <w:r>
        <w:t>Erwägungen</w:t>
      </w:r>
    </w:p>
    <w:p>
      <w:r>
        <w:rPr>
          <w:b/>
        </w:rPr>
        <w:t>E. 1</w:t>
      </w:r>
    </w:p>
    <w:p>
      <w:r>
        <w:t>Le Tribunal fédéral examine d'office et librement la recevabilité des recours qui lui sont soumis ( ATF 132 III 291 consid. 1; 131 III 667 consid. 1 p. 668; 131 V 202 consid. 1).</w:t>
      </w:r>
    </w:p>
    <w:p>
      <w:r>
        <w:rPr>
          <w:b/>
        </w:rPr>
        <w:t>E. 1.1</w:t>
      </w:r>
    </w:p>
    <w:p>
      <w:r>
        <w:t>Dans les grandes lignes, le contenu des deux écritures du demandeur est largement similaire. Dans sa jurisprudence, le Tribunal fédéral a qualifié d'abusif le procédé consistant à déposer deux recours, dans des écritures certes distinctes, mais en mélangeant les griefs propres à une voie avec ceux propres à l'autre ( ATF 116 II 92 consid. 1; 115 II 396 consid. 2a p. 397).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4P.17/2006 du 2 mai 2006, consid. 2.1; 4C.27/2006 du 2 mai 2006, consid. 1.1).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w:t>
      </w:r>
    </w:p>
    <w:p>
      <w:r>
        <w:rPr>
          <w:b/>
        </w:rPr>
        <w:t>E. 1.2</w:t>
      </w:r>
    </w:p>
    <w:p>
      <w:r>
        <w:t>Interjeté par le demandeur, qui a été partiellement débouté de ses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(art. 34 al. 1 let. a et 54 al. 1 OJ) et dans les formes requises ( art. 55 OJ ).</w:t>
      </w:r>
    </w:p>
    <w:p>
      <w:r>
        <w:rPr>
          <w:b/>
        </w:rPr>
        <w:t>E. 1.3</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1.4</w:t>
      </w:r>
    </w:p>
    <w:p>
      <w:r>
        <w:t>En vertu de l' art. 55 al. 1 let . c OJ, l'acte de recours doit contenir la motivation des conclusions. Il s'ensuit que chacun des chefs de conclusions pris devant le Tribunal fédéral doit être motivé, sous peine d'irrecevabilité (arrêt 4C.68/2006 du 15 juin 2006, consid. 1.3; 5C.226/2004 du 2 mars 2005, consid. 1.2 et la référence à Poudret, Commentaire de la loi fédérale d'organisation judiciaire du 16 décembre 1943, vol. II, n. 1.5.1.1 ad art. 55 OJ , p. 429). Les motifs doivent indiquer succinctement quelles sont les règles de droit fédéral prétendument violées et en quoi consiste la violation alléguée (cf. art. 55 al. 1 let . c OJ). Il n'est pas nécessaire que le recourant indique expressément les dispositions légales - le numéro des articles de loi - ou qu'il désigne exactement les principes non écrits de droit fédéral qui auraient été violés; il suffit qu'à la lecture de son exposé, on comprenne clairement quelles règles de droit fédéral auraient été, selon lui, transgressées par l'autorité cantonale. En revanche, il est indispensable que le recourant discute les motifs de la décision entreprise et qu'il indique précisément en quoi il estime que l'autorité cantonale a méconnu le droit fédéral (cf. ATF 121 III 397 consid. 2a; 116 II 745 consid. 3 p. 748 s.). Des considérations générales, sans lien manifeste ni même perceptible avec des motifs déterminés de la décision entreprise, ne répondent pas à ces exigences ( ATF 116 II 745 consid. 3 p. 749). Par ailleurs, les griefs soulevés dans la motivation des conclusions ne doivent pas être de ceux qu'interdit la troisième phrase de l' art. 55 al. 1 let . c OJ, savoir les critiques dirigées contre la constatation des faits ou l'appréciation des preuves par l'autorité cantonale, les arguments comportant l'allégation de faits nouveaux, les exceptions nouvelles ou encore les critiques dirigées contre l'application du droit cantonal (arrêt 4C.68/2006 du 15 juin 2006, consid. 1.3; 5C.226/2004 du 2 mars 2005, consid. 1.2 et la référence à Poudret, op. cit., n. 1.5.2.3 ad art. 55 OJ , p. 432). La sanction du non-respect de l'exigence de motivation est l'irrecevabilité du recours. Ce n'est que dès l'instant où une conclusion est motivée de façon satisfaisante au regard de l' art. 55 al. 1 let . c OJ qu'intervient la règle selon laquelle le Tribunal fédéral applique d'office le droit ( art. 63 al. 1 et 3 OJ ; arrêt 4C.131/2002 du 18 octobre 2002, consid. 1; 4C.211/1999 du 25 août 1999, consid. 1 et la référence à Poudret, op. cit., n. 3.3 ad art. 63 OJ , p. 523).</w:t>
      </w:r>
    </w:p>
    <w:p>
      <w:r>
        <w:rPr>
          <w:b/>
        </w:rPr>
        <w:t>E. 1.5</w:t>
      </w:r>
    </w:p>
    <w:p>
      <w:r>
        <w:t>Dans le cas présent, force est de constater que le demandeur, s'il invoque certes les art. 336 al. 1 let . d et 175 CO, n'expose nullement en quoi l'autorité aurait méconnu chacune de ces dispositions de droit fédéral, mais se limite à présenter une argumentation de type appellatoire, d'ailleurs similaire à celle contenue dans son recours de droit public, consistant en une vaine remise en cause de l'appréciation des preuves par les précédents juges. Ne répondant manifestement pas aux exigences de motivation susmentionnées, le recours en réforme ne peut qu'être déclaré irrecevable.</w:t>
      </w:r>
    </w:p>
    <w:p>
      <w:r>
        <w:rPr>
          <w:b/>
        </w:rPr>
        <w:t>E. 2</w:t>
      </w:r>
    </w:p>
    <w:p>
      <w:r>
        <w:t>Comme la valeur litigieuse, calculée selon les prétentions à l'ouverture de l'action ( ATF 115 II 30 consid. 5b p. 41), dépasse le seuil de 30'000 fr., la procédure n'est pas gratuite ( art. 343 al. 2 et 3 CO ). Compte tenu de l'issue du litige, les frais seront mis à la charge du demandeur, qui succombe ( art. 156 al. 1 OJ ). En revanche, il n'y a pas lieu d'allouer des dépens à la défenderesse, qui s'est abstenue de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