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4C.233/2000 vom 15. November 2000</w:t>
      </w:r>
    </w:p>
    <w:p>
      <w:r>
        <w:t>Bundesgericht, 2000-11-15, DE</w:t>
      </w:r>
    </w:p>
    <w:p>
      <w:r>
        <w:rPr>
          <w:b/>
        </w:rPr>
        <w:t xml:space="preserve">Quelle: </w:t>
      </w:r>
      <w:r>
        <w:t>https://mcp.opencaselaw.ch/entscheid/bger_4C.233_2000</w:t>
      </w:r>
    </w:p>
    <w:p>
      <w:r>
        <w:t>FR: TF 4C.233/2000 du 15 novembre 2000</w:t>
      </w:r>
    </w:p>
    <w:p>
      <w:r>
        <w:t>IT: TF 4C.233/2000 del 15 novembre 2000</w:t>
      </w:r>
    </w:p>
    <w:p>
      <w:pPr>
        <w:pStyle w:val="Heading2"/>
      </w:pPr>
      <w:r>
        <w:t>Erwägungen</w:t>
      </w:r>
    </w:p>
    <w:p>
      <w:r>
        <w:rPr>
          <w:b/>
        </w:rPr>
        <w:t>E. 1</w:t>
      </w:r>
    </w:p>
    <w:p>
      <w:r>
        <w:t>Gemäss Art. 55 Abs. 1 lit. b OG ist in der Berufungsschrift genau anzugeben, welche Punkte des kantonalen Entscheides angefochten und welche Änderungen beantragt werden. Das Bundesgericht hat diese Vorschrift stets dahin ausgelegt, dass bei Klagen auf Geldleistungen der zuzusprechende Betrag ziffernmässig anzugeben ist, wobei es ausreicht, wenn dieser aus der Berufungsbegründung ersichtlich ist ( BGE 119 II 333 E. 3; 105 II 308 E. 6 S. 316). Entgegen der Meinung des Beklagten erfüllt der Antrag auf Gutheissung der Klage dieses Bestimmtheitserfordernis, weil der eingeklagte Betrag dem angefochtenen Urteil entnommen werden kann und damit eindeutig feststeht, welche Änderung der Kläger verlangt.</w:t>
      </w:r>
    </w:p>
    <w:p>
      <w:r>
        <w:rPr>
          <w:b/>
        </w:rPr>
        <w:t>E. 2</w:t>
      </w:r>
    </w:p>
    <w:p>
      <w:r>
        <w:t>a) Im Berufungsverfahren ist das Bundesgericht an die tatsächlichen Feststellungen der letzten kantonalen Instanz gebunden, wenn sie nicht offensichtlich auf Versehen beruhen, unter Verletzung bundesrechtlicher Beweisvorschriften zustandegekommen ( Art. 63 Abs. 2 OG ) oder wegen fehlerhafter Rechtsanwendung im kantonalen Verfahren zu ergänzen sind ( Art. 64 Abs. 2 OG ). Liegen solche Ausnahmen vor, so hat die Partei, die den Sachverhalt berichtigt oder ergänzt wissen will, darüber genaue Angaben mit Aktenhinweisen zu machen ( Art. 55 Abs. 1 lit. d OG ).</w:t>
      </w:r>
    </w:p>
    <w:p>
      <w:r>
        <w:t>Der Kläger setzt sich über diese Regeln hinweg, indem er, ohne sich auf eine der genannten Ausnahmen zu berufen, seiner Berufungsschrift teilweise einen Sachverhalt unterstellt, der von den Feststellungen im angefochtenen Urteil abweicht. Dies trifft insbesondere für die ohnehin nicht entscheidrelevanten Korrekturen gemäss Ziff. II/1 der Berufung und seine tatsächlichen Ausführungen im Zusammenhang mit dem von ihm geltend gemachten Rechtsmissbrauch zu, welche demnach unbeachtlich sind.</w:t>
      </w:r>
    </w:p>
    <w:p>
      <w:r>
        <w:t>b) Der mit separater Eingabe des Klägers vom 13. August 2000 eingereichte Handelsregisterauszug ist nicht zu berücksichtigen, da das Vorbringen neuer Tatsachen im Berufungsverfahren unzulässig ist ( Art. 55 Abs. 1 lit. c OG ).</w:t>
      </w:r>
    </w:p>
    <w:p>
      <w:r>
        <w:rPr>
          <w:b/>
        </w:rPr>
        <w:t>E. 3</w:t>
      </w:r>
    </w:p>
    <w:p>
      <w:r>
        <w:t>Der Kläger rügt sinngemäss, das Obergericht sei nicht berechtigt gewesen, die Gültigkeit der Verpflichtung zur finanziellen Übernahme des Geschäftswagens zu verneinen, nachdem es sie im Aberkennungsprozess bejaht habe. Auch wenn die Rechtskraft eines Urteils nur das Dispositiv erfasse, könne ein Gericht die gleiche vertragliche Verpflichtung nicht einmal als gültig und vier Jahre später als ungültig bezeichnen.</w:t>
      </w:r>
    </w:p>
    <w:p>
      <w:r>
        <w:t>a) Ob eine abgeurteilte Sache vorliegt ist vom Bundesgericht von Amtes wegen zu prüfen ( BGE 112 II 268 , E. 1a, 271 f. mit Hinweisen), weshalb unerheblich ist, ob der Kläger bereits im kantonalen Verfahren eine entsprechende Einwendung vorgebracht hat.</w:t>
      </w:r>
    </w:p>
    <w:p>
      <w:r>
        <w:t>Die materielle Rechtskraft eines Urteils erfasst die Verfügungen des Gerichts wie sie im Urteilsdispositiv zum Ausdruck kommen. Sie betrifft in subjektiver Hinsicht nur die am Verfahren beteiligen Parteien und wird objektiv durch den vom Gericht materiellrechtlich beurteilten Streitgegenstand begrenzt. Die tatsächlichen Feststellungen und rechtlichen Erwägungen eines Gerichts haben in einer anderen Streitsache keine bindende Wirkung ( BGE 123 III 16 E. 2a; 121 III 474 E. 4a; 115 II 187 E. 3b S. 191). Da der Streitgegenstand insbesondere durch den eingeklagten Betrag begrenzt wird, erwächst bei Teilklagen nur der Entscheid über den beurteilten Teilbetrag in Rechtskraft. Im Prozess über die Restforderung ist der Richter daher weder in rechtlicher noch in tatsächlicher Hinsicht an das erste Urteil gebunden (Hans Ulrich Walder, Zivilprozessrecht nach den Gesetzen des Bundes und des Kantons Zürich unter Berücksichtigung anderer Zivilprozessordnungen, 4. Aufl. , S. 258 Rz. 37; Leuch/Marbach/Kellerhals/Sterchi, Die Zivilprozessordnung für den Kanton Bern, Kommentar samt einem Anhang zugehöriger Erlasse,</w:t>
      </w:r>
    </w:p>
    <w:p>
      <w:r>
        <w:rPr>
          <w:b/>
        </w:rPr>
        <w:t>E. 5</w:t>
      </w:r>
    </w:p>
    <w:p>
      <w:r>
        <w:t>Aufl. , N. 12c/bb zu Art. 192 S. 462; Andreas Edelmann:</w:t>
      </w:r>
    </w:p>
    <w:p>
      <w:r>
        <w:t>in Bühler/Edelmann/Killer, Kommentar zur aargauischen Zivilprozessordnung, 2. Aufl. , N. 25 zu § 284 ZPO ; Walther J. Habscheid, Schweizerisches Zivilprozess- und Gerichtsorganisationsrecht,</w:t>
      </w:r>
    </w:p>
    <w:p>
      <w:r>
        <w:t>2. Auf. , S. 281 Rz 491; Albert Killer, Res iudicata im Rahmen der aargauischen ZPO, in: Festschrift für Kurt Eichenberger zur Vollendung seines 80. Lebensjahres, S. 105 ff. S. 117; Staehelin/Sutter, Zivilprozessrecht nach den Gesetzen der Kantone Basel-Stadt und Basel-Landschaft unter Einbezug des Bundesrechts, S. 215 Rz 12; Max Guldener, Schweizerisches Zivilprozessrecht, S. 368 Fn. 34; vgl. ferner BGE 99 II 172 E. 2). Der Grundsatz, wonach der Richter bei der vorfrageweisen Beurteilung eines Anspruchs an ein früheres Urteil gebunden ist, mit welchem über diesen Anspruch als Hauptfrage bereits rechtskräftig entschieden wurde ( BGE 123 III 16 E. 2a S. 19; Walder, a.a.O., S. 257 Rz. 35; Oscar Vogel, Grundriss des Zivilprozessrechts,</w:t>
      </w:r>
    </w:p>
    <w:p>
      <w:r>
        <w:rPr>
          <w:b/>
        </w:rPr>
        <w:t>E. 6</w:t>
      </w:r>
    </w:p>
    <w:p>
      <w:r>
        <w:t>Schliesslich macht der Kläger geltend, der Beklagte habe seine Sorgfaltspflichten durch die fehlende Überwachung des an Hans Rudolf Ruckstuhl übergebenen BMW 850i verletzt. Der Kläger legt jedoch nicht dar und dies ist auch nicht ersichtlich, inwiefern das Obergericht Bundesrecht verletzt haben soll, wenn es annahm, es habe am Kläger gelegen, sein Interesse bezüglich des Fahrzeugs zu wahren, nachdem er sich ungerechtfertigterweise geweigert hatte, es zurückzunehmen und wusste, wohin der Beklagte dieses gebracht hatte.</w:t>
      </w:r>
    </w:p>
    <w:p>
      <w:r>
        <w:rPr>
          <w:b/>
        </w:rPr>
        <w:t>E. 7</w:t>
      </w:r>
    </w:p>
    <w:p>
      <w:r>
        <w:t>Nach dem Gesagten ist die Berufung abzuweisen, soweit darauf einzutreten ist. 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