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4C.22/2006 vom 5. Mai 2006</w:t>
      </w:r>
    </w:p>
    <w:p>
      <w:r>
        <w:t>Bundesgericht, 2006-05-05, FR</w:t>
      </w:r>
    </w:p>
    <w:p>
      <w:r>
        <w:rPr>
          <w:b/>
        </w:rPr>
        <w:t xml:space="preserve">Quelle: </w:t>
      </w:r>
      <w:r>
        <w:t>https://mcp.opencaselaw.ch/entscheid/bger_4C.22_2006</w:t>
      </w:r>
    </w:p>
    <w:p>
      <w:r>
        <w:t>FR: TF 4C.22/2006 du 5 mai 2006</w:t>
      </w:r>
    </w:p>
    <w:p>
      <w:r>
        <w:t>IT: TF 4C.22/2006 del 5 maggio 2006</w:t>
      </w:r>
    </w:p>
    <w:p>
      <w:pPr>
        <w:pStyle w:val="Heading2"/>
      </w:pPr>
      <w:r>
        <w:t>Regeste</w:t>
      </w:r>
    </w:p>
    <w:p>
      <w:r>
        <w:t>contrat de joint venture | Droit des sociétés</w:t>
      </w:r>
    </w:p>
    <w:p>
      <w:pPr>
        <w:pStyle w:val="Heading2"/>
      </w:pPr>
      <w:r>
        <w:t>Erwägungen</w:t>
      </w:r>
    </w:p>
    <w:p>
      <w:r>
        <w:rPr>
          <w:b/>
        </w:rPr>
        <w:t>E. 1</w:t>
      </w:r>
    </w:p>
    <w:p>
      <w:r>
        <w:t>Interjeté par la demanderesse, dont les prétentions ont toutes été écartées par la Cour de justice, le présent recours est en principe recevable puisqu'il vise une décision finale rendue en dernière instance cantonale par un tribunal supérieur ( art. 48 al. 1 OJ ), dans une contestation civile dont la valeur litigieuse dépasse manifestement le seuil de 8'000 fr. ( art. 46 OJ ), qu'il a été déposé en temps utile ( art. 54 al. 1 OJ en liaison avec l' art. 34 al. 1 let . c OJ) et qu'il a été établi dans les formes requises ( art. 55 OJ ). Vrai est-il, par ailleurs, que les conclusions relatives aux prétentions pécuniaires, qui sont prises dans un recours en réforme, doivent être chiffrées, en règle générale ( ATF 121 III 390 consid. 1 p. 392). En l'espèce, toutefois, le Tribunal de première instance, donnant suite à la requête ad hoc de la demanderesse, s'est borné à statuer sur le principe de la responsabilité de la défenderesse, en réservant la fixation ultérieure du dommage, qui nécessitait la mise en oeuvre d'une expertise comptable. Aussi ne pouvait-on exiger de la demanderesse qu'elle chiffrât ses conclusions pécuniaires dans son mémoire de recours en réforme.</w:t>
      </w:r>
    </w:p>
    <w:p>
      <w:r>
        <w:rPr>
          <w:b/>
        </w:rPr>
        <w:t>E. 2.1</w:t>
      </w:r>
    </w:p>
    <w:p>
      <w:r>
        <w:t>Le recours en réforme est ouvert pour violation du droit fédéral, mais non pour violation directe d'un droit de rang constitutionnel ( art. 43 al. 1 OJ ) ou pour violation du droit cantonal ( ATF 127 III 248 consid. 2c p. 252).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 ces exceptions,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2.2</w:t>
      </w:r>
    </w:p>
    <w:p>
      <w:r>
        <w:t>La demanderesse requiert le complètement des constatations de l'autorité cantonale. A cette fin, elle signale, par un procédé graphique, dans le cours de son exposé des principaux faits de la cause, un certain nombre de circonstances que les juges précédents auraient passées sous silence, contrairement au Tribunal de première instance, alors qu'elles seraient établies par les preuves versées au dossier cantonal. L' art. 64 OJ ne confère pas aux parties la faculté de compléter ad libitum les faits constatés par l'autorité cantonale. Un complètement de l'arrêt attaqué ne se justifie que si celui-ci ne contient pas les constatations nécessaires à l'application du droit fédéral; il appartient à la partie qui le requiert de démontrer la réalisation de cette condition (arrêt 4C.91/2005 du 23 mai 2005, consid. 1.1). A cet égard, on cherche en vain, dans l'acte de recours, des indications concrètes dont on pourrait inférer en quoi les faits prétendument omis dans l'arrêt cantonal auraient été pertinents pour l'application des dispositions topiques du droit fédéral ( art. 55 al. 1 let . c OJ). Il n'y a donc pas lieu de donner suite à la requête de la demanderesse.</w:t>
      </w:r>
    </w:p>
    <w:p>
      <w:r>
        <w:rPr>
          <w:b/>
        </w:rPr>
        <w:t>E. 3</w:t>
      </w:r>
    </w:p>
    <w:p>
      <w:r>
        <w:t>La Cour de justice s'est déclarée compétente pour connaître de la cause en litige sur le vu de la clause de prorogation de for insérée dans les accords conclus par les parties et en application de l'art. 17 al. 1 de la Convention de Lugano (RS 0.275.11). Quant au droit applicable, elle a pris en considération, conformément à l' art. 116 LDIP , le droit choisi par les parties, c'est-à-dire le droit suisse. Aucune critique n'étant formulée à ce sujet à ce stade de la procédure, il n'y a pas lieu de revoir ces questions ( art. 55 al. 1 let . c OJ). Quoi qu'il en soit, les motifs avancés par la cour cantonale au sujet de la compétence internationale et du droit applicable n'apparaissent en rien contraires au droit fédéral.</w:t>
      </w:r>
    </w:p>
    <w:p>
      <w:r>
        <w:rPr>
          <w:b/>
        </w:rPr>
        <w:t>E. 4</w:t>
      </w:r>
    </w:p>
    <w:p>
      <w:r>
        <w:t>La Cour de justice constate, par ailleurs, que la demanderesse n'a pas repris, dans la procédure d'appel cantonale, la conclusion en paiement de 235'344 US$ qu'elle avait soumise sans succès aux premiers juges en vue d'obtenir le remboursement des frais engagés par elle pour la réalisation du partenariat avec la défenderesse. Elle en déduit que le jugement de première instance a acquis force de chose jugée sur ce point, conformément au droit de procédure civile genevois. Par conséquent, le sort de ladite conclusion est scellé.</w:t>
      </w:r>
    </w:p>
    <w:p>
      <w:r>
        <w:rPr>
          <w:b/>
        </w:rPr>
        <w:t>E. 5</w:t>
      </w:r>
    </w:p>
    <w:p>
      <w:r>
        <w:t>L'expression "joint venture", qui revêt diverses significations, est utilisée, notamment, pour désigner l'accord du même nom "par lequel deux ou plusieurs partenaires conviennent, tout en poursuivant leur propre activité, de créer une entreprise commune pour une activité déterminée, durable ou passagère, et de faire bénéficier cette société de l'appui technique, financier et commercial de leur propre entreprise" (Claude Reymond, Le contrat de «Joint Venture», in Innominatverträge, Festgabe zum 60. Geburtstag von Walter R. Schluep, Zurich 1988, p. 383 ss, 384; cette définition est reprise par Pierre Tercier, Les contrats spéciaux, 3e éd., n. 6614). Ainsi défini, le contrat de joint venture ne se limite pas à un pur accord de collaboration (Contractual Joint Venture), qui est naturellement soumis aux règles de la société simple, tels les contrats de consortium pour l'exécution de grands travaux, car il suppose, en plus, la création d'une société commune (la joint venture) - généralement une société anonyme - dont les partenaires détiendront toutes les actions (Corporate Joint Venture; sur la distinction entre ces deux types d'accords de joint venture et leurs mérites respectifs, cf. Nedim Peter Vogt/Rolf Watter, Joint Ventures in Switzerland, in Swiss Commercial Law Series, Bâle 1995, passim). Ce contrat inclut quatre éléments au moins: l'accord de base, qui aménage les futurs rapports entre les partenaires; la société commune, contrôlée par ceux-ci; la convention d'actionnaires, qui organise les relations entre les partenaires, notamment en ce qui concerne l'exercice du droit de vote et les restrictions à la cession des droits; enfin, les accords satellites, qui servent à l'exécution de l'opération sous forme de contrats individuels passés entre la société commune et les partenaires (Tercier, op. cit., n. 6617). Dans de nombreux cas, le contrat de joint venture renferme des éléments sociétaires et synallagmatiques (Pierre Engel, Contrats de droit suisse, 2e éd., p. 705 , ch. 3). On s'accorde généralement à qualifier de société simple l'accord de base (Engel, ibid.; Tercier, op. cit., n. 6621, avec d'autres références; Matthias Oertle, Das Gemeinschaftsunternehmen (Joint Venture) im schweizerischen Recht, thèse Zurich 1990, p. 109). Cependant, comme le souligne à juste titre Pierre Tercier (op. cit., n. 6619), il est exclu de proposer une analyse rigoureuse de constructions dont les contours dépendent de chaque cas concret. De fait, le contrat de joint venture, qui est issu de la pratique, relève de l'autonomie de la volonté. Pour l'interpréter ou pour résoudre les difficultés pouvant surgir à l'occasion de son exécution, il convient donc d'appliquer les principes gouvernant l'interprétation des contrats, tels qu'ils ont été posés par la jurisprudence relative à l' art. 18 CO (Engel, op. cit., p. 704, ch. 2; pour l'exposé de ces principes, cf. ATF 131 III 606 consid. 4.1 et 4.2). De même, étant donné le caractère dispositif des règles régissant la liquidation de la société simple (art. 548 à 550 CO; Daniel Staehelin, Commentaire bâlois, 2e éd., n. 2 ad art. 548/549 CO), c'est la volonté des parties qu'il faudra tenter de dégager au premier chef pour déterminer les conséquences de l'extinction de l'accord de base en tant qu'élément constitutif du contrat de joint venture (sur ces conséquences, cf. Oertle, op. cit., p. 192 ss).</w:t>
      </w:r>
    </w:p>
    <w:p>
      <w:r>
        <w:rPr>
          <w:b/>
        </w:rPr>
        <w:t>E. 6.1</w:t>
      </w:r>
    </w:p>
    <w:p>
      <w:r>
        <w:t>En l'espèce, la défenderesse a renoncé à bon droit, en instance d'appel déjà, à soutenir que le "memorandum of understanding" du 27 septembre 2000 et le protocole du 8 novembre 2000 n'étaient pas de véritables accords contractuels, mais de simples lettres d'intention dépourvues de caractère contraignant (sur la distinction à faire entre l'accord de base, en tant qu'élément constitutif du contrat de joint venture, et la lettre d'intention, cf. Oertle, op. cit., p. 62 s., ch. 4). Il n'y a pas lieu d'y revenir.</w:t>
      </w:r>
    </w:p>
    <w:p>
      <w:r>
        <w:rPr>
          <w:b/>
        </w:rPr>
        <w:t>E. 6.2</w:t>
      </w:r>
    </w:p>
    <w:p>
      <w:r>
        <w:t>La société simple est un contrat par lequel deux ou plusieurs personnes conviennent d'unir leurs efforts ou leurs ressources en vue d'atteindre un but commun ( art. 530 al. 1 CO ). Il s'agit d'un contrat de durée dont les éléments caractéristiques sont, d'une part, l'apport, c'est-à-dire la prestation que chaque associé doit faire au profit de la société, d'autre part, le but commun qui rassemble les efforts des associés. Le protocole d'accord du 27 septembre 2000 entre assurément dans les prévisions de la disposition citée. Deux personnes morales - les parties en litige - s'y assignent un but commun, à savoir la création d'une société dont elles détiendront le capital à parts égales et qui sera active dans le commerce international des vins de qualité. Elles conviennent, en outre, d'unir leurs ressources à cette fin en apportant à la société à créer, l'une (la défenderesse), des fonds (apport en espèces), l'autre (la demanderesse), le capital-actions de deux sociétés, A.________ et D.________ (apport en nature). Le protocole d'accord contient également des dispositions sur la convention d'actionnaires à conclure ultérieurement, sur les délais à respecter pour la mise en oeuvre du projet commun et sur la manière de procéder au cas où les parties seraient dans une impasse. Sur le vu de l'ensemble des dispositions qui y figurent, le "memorandum of understanding" du 27 septembre 2000, qui constitue l'accord de base du contrat de joint venture liant les parties, présente toutes les caractéristiques du contrat de société simple. Quant à l'accord subséquent, passé le 8 novembre 2000, il confirmait l'applicabilité de l'accord initial, dont il ne modifiait que certaines clauses, sans changer la nature de celui-ci. Contrairement à l'avis exprimé par les juges cantonaux, le fait que plusieurs points devaient encore être négociés après la constitution de la société commune, les parties s'y engageant, n'implique pas que le "memorandum of understanding" se rapprocherait davantage d'un contrat synallagmatique que d'un accord de base à qualifier de société simple (sur la distinction entre les deux types de contrat, cf. Oertle, op. cit., p. 106, ch. 1). Aussi bien, il appert dudit accord que les parties n'ont pas entendu échanger leurs prestations, mais les unir afin d'atteindre un objectif commun. Il est de même indifférent, pour conclure à l'existence d'un contrat de société simple, que les parties ou l'une d'entre elles n'aient pas exécuté - fautivement ou non - leur obligation de faire l'apport convenu. L'opinion inverse, dont la demanderesse attribue d'ailleurs à tort la paternité aux juges d'appel, ne serait pas défendable car elle ferait dépendre la qualification d'un contrat de l'exécution des engagements que les parties y ont pris.</w:t>
      </w:r>
    </w:p>
    <w:p>
      <w:r>
        <w:rPr>
          <w:b/>
        </w:rPr>
        <w:t>E. 7.1</w:t>
      </w:r>
    </w:p>
    <w:p>
      <w:r>
        <w:t>Invoquant l' art. 548 CO , la demanderesse réclame la restitution de son apport d'après la valeur qu'avait celui-ci au moment où il a été effectué. A titre subsidiaire, elle conclut à l'allocation de dommages-intérêts positifs, pour inexécution fautive du contrat ( art. 97 ss CO ), au motif que la défenderesse aurait refusé sans raison de procéder aux actes nécessaires à la constitution de la société commune, tels que le transfert des actions de A.________ à cette entité. Il y a lieu d'examiner, dans un premier temps, si la demanderesse a bien effectué l'apport allégué par elle, faute de quoi sa conclusion tendant à la restitution de la valeur du prétendu apport serait sans objet (cf. consid. 7.2). Dans une seconde étape, l'analyse devra se concentrer sur le comportement adopté par les parties, lors de la mise en oeuvre de l'accord de base, en vue de déterminer si, comme le soutient la demanderesse, le défaut de concrétisation de cet accord résulte de la violation, par la défenderesse, de ses obligations contractuelles (cf. consid. 7.3).</w:t>
      </w:r>
    </w:p>
    <w:p>
      <w:r>
        <w:rPr>
          <w:b/>
        </w:rPr>
        <w:t>E. 7.2.1</w:t>
      </w:r>
    </w:p>
    <w:p>
      <w:r>
        <w:t>Le premier paragraphe du préambule du "memorandum of understanding" du 27 septembre 2000 énonce ce qui suit: "X.________, in connection with the termination of its agreement with the group [B.________], has the option to acquire all the shares constituting the equity capital of [A.________], ..., as well as all the shares constituting the equity capital of [D.________], ...". Mettant en évidence le terme option figurant dans ce texte, la demanderesse soutient qu'elle s'est vu conférer par B.________ un véritable droit d'option consistant dans la faculté unilatérale de reprendre ou de faire reprendre par un tiers le capital-actions de A.________ et de D.________ moyennant le simple remboursement des sommes investies par B.________ pour l'acquisition des actions, resp. d'une partie des actions, de ces deux sociétés. A son avis, un tel droit d'option était susceptible de constituer un apport dans le cadre d'une entreprise commune; il aurait été exercé, en l'espèce, par les opérations du 8 novembre 2000, lesquelles avaient permis le transfert - purement provisoire - de A.________ à la défenderesse, à charge pour celle-ci de remettre ultérieurement le capital-actions de celle-là à la société commune. Toujours selon la demanderesse, la valeur de ce droit d'option correspondrait à la différence entre la valeur vénale de A.________ et le prix payé par Y.________ pour l'acquisition des actions de cette société.</w:t>
      </w:r>
    </w:p>
    <w:p>
      <w:r>
        <w:rPr>
          <w:b/>
        </w:rPr>
        <w:t>E. 7.2.2</w:t>
      </w:r>
    </w:p>
    <w:p>
      <w:r>
        <w:t>Le contrat d'option est une convention par laquelle une partie octroie à une autre le droit discrétionnaire de donner naissance, par sa seule déclaration de volonté, à un contrat donné (Ralph Schlosser, Les lettres d'intention: portée et sanction des accords précontractuels, in Responsabilité civile et assurance, Etudes en l'honneur de Baptiste Rusconi, p. 345 ss, 346). Le droit d'option confère à son titulaire la faculté, notamment, de former un rapport d'obligation par une déclaration unilatérale de volonté ( ATF 122 III 10 consid. 4b p. 15 et les références; voir aussi l'arrêt 4C.17/2004 du 2 juin 2004, consid. 6.2.1). La demanderesse déduit l'existence d'un tel droit d'option, censé lui permettre d'acquérir à sa guise le capital-actions de A.________ et celui de D.________, du terme "option" figurant dans le préambule du protocole d'accord signé le 27 septembre 2000 par les parties. Selon le texte dudit préambule, ce droit d'option lui aurait été concédé "in connection with the termination of its agreement with the group B.________". Or, à la date précitée, la demanderesse et B.________ n'avaient pas encore conclu l'accord constitutif du droit d'option allégué, puisque cet accord n'a été signé que le 5 octobre 2000. Supposé qu'il existât, le droit d'option litigieux n'aurait ainsi pris naissance que postérieurement à la signature du "memorandum of understanding". Au demeurant, il n'est qu'à lire le texte de l'accord du 5 octobre 2000, dont un résumé figure sous lettres B.c dans la partie "Faits" du présent arrêt, pour constater que la faculté pour la demanderesse d'acquérir ou de faire acquérir par un tiers les actions de A.________ et de D.________ n'était que l'un des divers éléments d'une convention complexe, comportant différentes clauses et conditions, qui visait à mettre un terme à l'accord de joint venture liant la demanderesse et B.________. Aussi paraît-il difficile de qualifier de droit d'option, au sens de la définition susmentionnée, la faculté ainsi octroyée - sous condition - à l'une des parties à un accord revêtant tous les caractères d'une transaction extrajudiciaire. Quoi qu'il en soit, pour entrer dans les vues de la demanderesse, il faudrait que l'apport effectué par celle-ci ait consisté dans l'exercice même du droit d'option, car c'est la valeur de ce droit, au moment où il a été exercé, que l'intéressée réclame à la défenderesse à titre de restitution de son apport. Or, tel ne fut pas le cas. L'apport de la demanderesse, ainsi que cela résulte de l'art. 1er al. 2 du protocole d'accord du 27 septembre 2000, consistait à transférer ou à causer le transfert à la future société commune - i.e. la joint venture stricto sensu - de tout le capital-actions de A.________ et de D.________. L'acquisition des actions de ces deux sociétés, par l'exercice du droit d'option allégué, ne constituait donc qu'un préalable à l'apport convenu, et non pas déjà l'apport lui-même. Le bien-fondé de cette dernière conclusion n'est pas infirmé par les événements subséquents. Sans doute la défenderesse, par la signature, en date du 8 novembre 2000, du protocole passé avec C.________, B.________ et la demanderesse, a-t-elle acquis les actions de A.________, moyennant une prestation financière, cette acquisition constituant la mise à exécution du protocole d'accord du 5 octobre 2000 (cf. la lettre d du préambule du protocole du 8 novembre 2000, qui rappelle la chose; voir aussi, plus haut, les faits résumés sous lettres B.e). Toutefois, en prêtant la main au transfert de ces actions par l'exercice de son prétendu droit d'option, la demanderesse n'a pas effectué son apport. Preuve en est l'art. 1er al. 3 du protocole signé le 8 novembre 2000 par les parties, en vertu duquel celles-ci se sont engagées, en accord avec les dispositions du "memorandum of understanding", à transférer à la joint venture, l'une (i.e. la défenderesse), les actions de A.________ acquises par elle, l'autre (i.e. la demanderesse), les actions de D.________ détenues par elle au travers de C.________ dont elle était désormais propriétaire de tout le capital. C'est donc ce double transfert, différé afin de compléter certaines exigences techniques non précisées, qui devait constituer le véritable apport des parties au contrat de société simple, la seule modification intervenue sur ce point par rapport au protocole d'accord du 27 septembre 2000 tenant au fait qu'à l'apport en espèces, que la défenderesse s'était engagée initialement à faire, s'était substitué un apport en nature sous la forme d'un transfert de titres. Cela étant, la demanderesse exige à tort de la défenderesse qu'elle lui paie une somme - à fixer par voie d'expertise - correspondant à la valeur de son prétendu droit d'option à la date du 8 novembre 2000. Pour le surplus, il est constant et du reste constaté par la cour cantonale que les apports (en nature) du capital-actions de A.________ et de celui de D.________ n'ont pas été effectués. Dans ces conditions, la demanderesse réclame en vain la restitution de son apport, en invoquant l' art. 548 CO .</w:t>
      </w:r>
    </w:p>
    <w:p>
      <w:r>
        <w:rPr>
          <w:b/>
        </w:rPr>
        <w:t>E. 7.3.1</w:t>
      </w:r>
    </w:p>
    <w:p>
      <w:r>
        <w:t>La demanderesse impute, par ailleurs, à la Cour de justice une violation de l' art. 97 CO en liaison avec l' art. 18 CO . Les juges genevois soulignent, dans leur arrêt, que la demanderesse n'a pas établi, en procédure, que la valeur de D.________ correspondait à celle annoncée ou présentée à la défenderesse. Selon la demanderesse, cet argument, impliquant qu'il lui incombait d'établir que les actions de ladite société atteignaient une certaine valeur, reposerait sur une interprétation erronée de la volonté des parties. En effet, celles-ci n'ont jamais entendu attribuer à D.________ une valeur déterminée qui serait garantie par la demanderesse. Au contraire, il ne leur a pas échappé que les actions de D.________ puissent avoir une valeur inférieure à FRF 210'000'000.-, étant donné qu'elles ont adopté, dans le protocole d'accord du 27 septembre 2000, des dispositions visant à rééquilibrer leurs apports respectifs en pareille hypothèse et qu'elles ont réglé expressément les conséquences qu'entraînerait l'impossibilité d'y parvenir. Aussi la demanderesse s'inscrit-elle en faux contre le reproche qui lui est fait d'avoir violé ses obligations contractuelles en n'établissant pas la valeur de D.________. Il est encore fait grief aux juges cantonaux d'avoir interprété l'interruption du processus d'évaluation de D.________ comme étant un événement entraînant la réalisation d'une condition résolutoire rendant sans effet les accords des 27 septembre et 8 novembre 2000. Il aurait échappé aux magistrats genevois que la défenderesse, en mettant fin à ce processus d'évaluation, d'une part, pour des raisons liées à ses relations personnelles avec l'entité chargée de l'évaluation et, d'autre part, du fait qu'elle désirait examiner la possibilité d'apporter d'autres actifs à la joint venture, avait provoqué elle-même l'avènement de la condition résolutoire en contrevenant aux règles de la bonne foi. Par conséquent, cette condition devrait être réputée non accomplie, en vertu de l' art. 156 CO applicable par analogie. Faisant siennes les considérations émises à ce sujet par le Tribunal de première instance, la demanderesse conteste, en outre, que l'art. 7 du protocole d'accord du 27 septembre 2000 ait eu vocation à régler le cas dans lequel les cocontractants ne parviendraient pas à sortir de l'impasse quant aux actifs devant être apportés par elle à la société commune. A son avis, l'application de ladite clause supposait que cette société ait été créée. Dans ces conditions, la demanderesse exige d'être placée économiquement dans la situation qui eût été la sienne si le contrat avait été correctement exécuté par le transfert du capital-actions de A.________ à la société commune. Elle soutient, concrètement, que l'inexécution fautive du contrat par la défenderesse la prive de la plus-value de A.________ dont elle aurait bénéficié sinon en tant que titulaire de la moitié des actions de la société commune, plus-value qui se serait manifestée dans le bénéfice de liquidation de cette société.</w:t>
      </w:r>
    </w:p>
    <w:p>
      <w:r>
        <w:rPr>
          <w:b/>
        </w:rPr>
        <w:t>E. 7.3.2</w:t>
      </w:r>
    </w:p>
    <w:p>
      <w:r>
        <w:t>Lorsque la composition de la société simple présente des analogies suffisantes avec un contrat synallagmatique - en particulier, dans le cas d'une société composée de deux associés -, il se justifie d'appliquer les règles générales sur l'inexécution des obligations ( art. 97 ss CO ; Tercier, op. cit., n. 6702 et 6705; Werner von Steiger, Gesellschaftsrecht, in Schweizerisches Privatrecht VIII/I, p. 372 ss). Tel est le cas en l'espèce, comme la demanderesse l'admet d'ailleurs expressément sous chiffre 3.2 de son acte de recours. Aux termes de l' art. 97 al. 1 CO , lorsque le créancier ne peut obtenir l'exécution de l'obligation ou ne peut l'obtenir qu'imparfaitement, le débiteur est tenu de réparer le dommage en résultant, à moins qu'il ne prouve qu'aucune faute ne lui est imputable. La loi répartit le fardeau de la preuve comme il suit: le créancier doit prouver l'inexécution de l'obligation, le dommage qu'il a subi ainsi que le rapport de causalité entre l'inexécution et le dommage; le débiteur qui entend être libéré doit prouver qu'il n'a pas commis de faute (cf., parmi d'autres: Pierre Engel, Traité des obligations en droit suisse, 2e éd., p. 704 s.). La situation juridique ne serait pas différente, au demeurant, si l' art. 538 al. 2 CO trouvait à s'appliquer en l'espèce. Cette disposition règle, en effet, sur le modèle de l' art. 97 al. 1 CO , la responsabilité de l'associé qui cause, par sa faute, un dommage à un ou plusieurs autres associés en violation des devoirs qui lui incombent. Et même si elle ne le dit pas expressément, le fardeau de la preuve de la faute est inversé, conformément à la disposition générale (Tercier, op. cit., n. 6706).</w:t>
      </w:r>
    </w:p>
    <w:p>
      <w:r>
        <w:rPr>
          <w:b/>
        </w:rPr>
        <w:t>E. 7.3.3</w:t>
      </w:r>
    </w:p>
    <w:p>
      <w:r>
        <w:t>En application des principes qui viennent d'être rappelés, il y a lieu d'examiner, sur le vu des faits constatés dans l'arrêt attaqué, si la demanderesse a établi l'inexécution d'une obligation contractuelle incombant à la défenderesse et, dans l'affirmative, si cette dernière a réussi à se disculper.</w:t>
      </w:r>
    </w:p>
    <w:p>
      <w:r>
        <w:rPr>
          <w:b/>
        </w:rPr>
        <w:t>E. 7.3.3.1</w:t>
      </w:r>
    </w:p>
    <w:p>
      <w:r>
        <w:t>Dans le protocole d'accord du 27 septembre 2000, il était prévu que l'évaluation de D.________ interviendrait dans les 90 jours après que la demanderesse aurait apporté le capital-actions de cette société (et celui de A.________) à la joint venture à créer (art. 3 let. a du protocole), ce qu'elle devait faire le 31 décembre 2000 au plus tard, l'accord étant sinon réputé nul et non avenu (art. 8 al. 2 du protocole). S'il résultait de l'audit que la valeur assignée à D.________ était inférieure à FRF 210'000'000.-, la demanderesse, soit compenserait la différence par des liquidités ou par l'apport d'autres actifs vinicoles sous certaines conditions, soit accepterait une réduction proportionnelle de sa part au capital-actions de la joint venture (art. 3 let. b du protocole). L'art. 7 ch. 3 (1) al. 1 du protocole réglait la situation qui se présenterait dans l'hypothèse, notamment, où les parties ne parviendraient pas à s'entendre, avant le 31 décembre 2001, sur les actifs additionnels devant être apportés par la demanderesse à la joint venture; en pareille hypothèse, chaque partie aurait, à sa guise, le droit de dissoudre la joint venture, la défenderesse recevant alors les actions de A.________ et la demanderesse celles de D.________. Quant à l'art. 9 al. 3 du protocole, il étendait à 180 jours la durée de celui-ci, pour autant que la défenderesse ait donné l'assurance, dans les 15 jours, que le montant de FRF 290'000'000.- était disponible dans les termes et pour le but de l'accord. La situation juridique, issue du "memorandum of understanding", s'est rapidement et partiellement modifiée par la suite du fait que, le 8 novembre 2000, la défenderesse a acquis le capital-actions de A.________ et que la demanderesse est devenue la propriétaire économique des actions de D.________. Les parties ont ainsi été amenées à signer, à la même date, un protocole additionnel dans lequel elles sont convenues que l'"évaluation" de D.________, dont elles avaient confié le soin au G.________, devrait être achevée le 20 décembre 2000 au plus tard, le transfert des actions à la joint venture ne devant intervenir qu'une fois cet audit terminé et certaines exigences techniques complétées (art. 1er al. 3 du protocole additionnel en liaison avec le quatrième alinéa de ce document). Pour le surplus, il a été décidé que le protocole d'accord du 27 septembre 2000 continuerait à s'appliquer (art. 1er al. 1 du protocole additionnel). De la mise en parallèle du "memorandum of understanding" du 27 septembre 2000 et du protocole additionnel du 8 novembre 2000, il ressort que si, dans un premier temps, l'évaluation de D.________ ne constituait pas un préalable à l'apport en nature que devait effectuer la demanderesse, elle l'est devenue par la suite. Il appert, en outre, de ces deux documents que les parties attachaient de l'importance à la parité de leurs apports respectifs et, singulièrement, au fait que les actions de D.________ aient une valeur de FRF 210'000'000.-. Aussi bien, si tel n'avait pas été le cas, elles n'auraient pas pris la peine de mettre au point un mécanisme sophistiqué destiné à rééquilibrer leurs apports respectifs dans l'hypothèse où cette valeur ne serait pas atteinte et elles ne se seraient pas octroyé réciproquement le droit discrétionnaire de dissoudre la joint venture pour le cas où elles auraient tenté en vain de mettre en oeuvre ce mécanisme. La lecture du "memorandum of understanding" confirme, du reste, si besoin est, que toute l'économie de cet accord reposait sur le principe d'une égalité de traitement des deux parties signataires. Telle est d'ailleurs, en règle générale, l'essence même d'un partenariat unissant deux personnes. Au demeurant, la demanderesse ne pouvait qu'être consciente de cela, du moment que l'échec de son association avec B.________ avait pour origine des réserves émises par cette société au sujet de la validité des conventions passées entre elles, en particulier sous l'angle de l'égalité de leurs apports respectifs dans C.________. En tout état de cause, sur le vu du texte des deux accords précités, la défenderesse pouvait admettre de bonne foi que la poursuite de sa relation contractuelle avec la demanderesse supposait que l'apport effectué par cette dernière ait une valeur de FRF 210'000'000.- ou, à ce défaut, que des mesures fussent prises pour rétablir l'équilibre entre les apports des deux partenaires.</w:t>
      </w:r>
    </w:p>
    <w:p>
      <w:r>
        <w:rPr>
          <w:b/>
        </w:rPr>
        <w:t>E. 7.3.3.2</w:t>
      </w:r>
    </w:p>
    <w:p>
      <w:r>
        <w:t>Il reste à examiner si la défenderesse a violé ses obligations contractuelles postérieurement à la conclusion du protocole additionnel du 8 novembre 2000. En d'autres termes, il s'agit de déterminer si c'est à cause d'elle que l'accord de base ne s'est pas concrétisé par la constitution de la joint venture projetée. 7.3.3.2.1 La demanderesse voit une circonstance décisive, à cet égard, dans le fait que l'initiative de mettre un terme au processus d'évaluation de D.________ aurait été prise par la défenderesse, en raison notamment d'un conflit d'intérêts entre le G.________, chargé d'effectuer ce travail, et A.________. Semblable argument résulte d'une interprétation réductrice des faits pertinents, tels qu'ils ont été résumés sous lettre C. de la partie "Faits" du présent arrêt. C'est le lieu de souligner que, dans sa lettre du 15 décembre 2000 à N.________, la défenderesse, par le truchement de M.________, a réitéré de précédentes demandes concernant la fourniture de documents comptables relatifs à la situation financière de D.________, indiqué qu'elle ne voyait pas comment il serait possible d'obtenir une synergie entre un vin fin du Médoc et des vins argentins de consommation courante, comme ceux de ladite société, et suggéré en conséquence d'explorer la possibilité de réunir dans une joint venture le Château V.________ avec des crus haut de gamme argentins, telle La ..., ajoutant qu'il conviendrait de remplacer le G.________, dont elle était sans nouvelles depuis plus d'un mois, par un nouveau partenaire pour les travaux d'évaluation futurs. Or, dans sa réponse du 19 décembre 2000, le représentant de la demanderesse ne s'est nullement insurgé contre les assertions figurant dans ladite lettre alors que l'on aurait pu s'attendre à ce qu'il proposât immédiatement de fournir les pièces requises et de relancer le G.________ pour qu'il finisse son rapport d'évaluation. Au contraire, N.________ a évoqué l'enthousiasme de X.________ à propos de cette "nouvelle association", proposant de repousser la date butoir du 20 décembre 2000 au 30 janvier 2001. La cour cantonale déduit de cet échange de lettres qu'une solution à l'apport par la demanderesse du capital-actions de D.________ à la joint venture n'a pas été trouvée par les parties, de sorte que celles-ci n'ont pas porté à terme le processus d'évaluation de cette société. Pareille déduction ne prête pas le flanc à la critique. Il n'est d'ailleurs pas interdit de penser que, si la demanderesse n'a pas insisté pour que ce processus se poursuive, et si elle n'a pas non plus produit les pièces qui lui étaient réclamées avec insistance par la défenderesse, c'est peut-être parce qu'elle ne souhaitait pas dévoiler la situation financière d'une société dont la liquidation et le dépôt de bilan allaient être requis quelques mois plus tard. On ne saurait, dès lors, imputer à la défenderesse une violation de ses obligations contractuelles du seul fait qu'elle n'a pas mené à terme le processus d'évaluation de D.________. 7.3.3.2.2 La même conclusion s'impose en ce qui concerne le comportement adopté par l'intéressée dans le cadre des pourparlers visant à trouver un actif de substitution que la demanderesse pourrait apporter à la joint venture. Selon les constatations de la cour cantonale, les parties n'ont plus eu de contact jusqu'à la fin du mois de février ou au début du mois de mars 2001. L'inaction de la demanderesse a de quoi surprendre. C'est elle, en effet, qui avait manifesté son enthousiasme quant à la nouvelle association suggérée par la défenderesse et c'est encore elle qui avait sollicité un report de la date butoir au 30 janvier 2001 afin qu'elle puisse examiner cette suggestion. Pour être cohérente avec sa position, elle aurait dû, à tout le moins, se manifester avant cette date, ne fût-ce que pour obtenir une réponse de la défenderesse à sa requête de prolongation du délai initial. Par ailleurs, le déroulement ultérieur des événements jusqu'à la rupture définitive des relations contractuelles, en août 2001, dont le détail figure sous lettres C.a et C.b de la partie "Faits" du présent arrêt, n'autorise pas davantage à conclure à une violation de ses obligations contractuelles par la défenderesse. Il en appert, au contraire, que cette dernière a prêté loyalement son concours à la demanderesse, nonobstant l'expiration du délai précité, en vue de trouver une solution de rechange à l'apport par celle-ci des actions de D.________. On ne saurait lui faire grief, à cet égard, de ne pas avoir admis, comme apport de substitution, le transfert à la joint venture des actions de La ..., étant donné que la production de cette société ne correspondait à la qualité requise que dans une proportion de 2% seulement. Enfin, la défenderesse ne peut pas se voir reprocher de ne pas avoir poursuivi indéfiniment des négociations qui s'enlisaient et dont le succès apparaissait de plus en plus aléatoire.</w:t>
      </w:r>
    </w:p>
    <w:p>
      <w:r>
        <w:rPr>
          <w:b/>
        </w:rPr>
        <w:t>E. 7.3.4</w:t>
      </w:r>
    </w:p>
    <w:p>
      <w:r>
        <w:t>Faute d'avoir établi la violation par la défenderesse de l'une ou l'autre de ses obligations contractuelles, la demanderesse n'est pas en droit de réclamer des dommages-intérêts à la prénommée. Point n'est besoin, pour s'en convaincre, d'appliquer par analogie l'art. 7 ch. 3 (1) al. 1 du protocole d'accord du 27 septembre 2000, comme l'a fait la Cour de justice, en respectant d'ailleurs l'esprit des accords litigieux qui voulait que chacun des deux partenaires conservât ses actifs (français pour la défenderesse, argentins pour la demanderesse) si l'association envisagée devait avorter. Par conséquent, en déboutant la demanderesse de ses conclusions, les juges précédents n'ont pas violé l' art. 97 al. 1 CO ni, le cas échéant, l' art. 538 al. 2 CO . Le résultat auquel ils sont parvenus, sinon tous les motifs qui les y ont conduits, est conforme au droit fédéral, et cela seul importe.</w:t>
      </w:r>
    </w:p>
    <w:p>
      <w:r>
        <w:rPr>
          <w:b/>
        </w:rPr>
        <w:t>E. 8</w:t>
      </w:r>
    </w:p>
    <w:p>
      <w:r>
        <w:t>Dans ces conditions, le recours soumis à l'examen de la Cour de céans sera rejeté. La demanderesse, qui succombe, devra, dès lors, payer l'émolument judiciaire afférent à la procédure fédérale ( art. 156 al. 1 OJ ) et verser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