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4C.222/2006 vom 29. August 2006</w:t>
      </w:r>
    </w:p>
    <w:p>
      <w:r>
        <w:t>Bundesgericht, 2006-08-29, FR</w:t>
      </w:r>
    </w:p>
    <w:p>
      <w:r>
        <w:rPr>
          <w:b/>
        </w:rPr>
        <w:t xml:space="preserve">Quelle: </w:t>
      </w:r>
      <w:r>
        <w:t>https://mcp.opencaselaw.ch/entscheid/bger_4C.222_2006</w:t>
      </w:r>
    </w:p>
    <w:p>
      <w:r>
        <w:t>FR: TF 4C.222/2006 du 29 août 2006</w:t>
      </w:r>
    </w:p>
    <w:p>
      <w:r>
        <w:t>IT: TF 4C.222/2006 del 29 agosto 2006</w:t>
      </w:r>
    </w:p>
    <w:p>
      <w:pPr>
        <w:pStyle w:val="Heading2"/>
      </w:pPr>
      <w:r>
        <w:t>Erwägungen</w:t>
      </w:r>
    </w:p>
    <w:p>
      <w:r>
        <w:rPr>
          <w:b/>
        </w:rPr>
        <w:t>E. 1</w:t>
      </w:r>
    </w:p>
    <w:p>
      <w:r>
        <w:t>Le Tribunal fédéral examine d'office et avec une pleine cognition la recevabilité des recours qui lui sont soumis ( ATF 131 III 667 consid. 1).</w:t>
      </w:r>
    </w:p>
    <w:p>
      <w:r>
        <w:rPr>
          <w:b/>
        </w:rPr>
        <w:t>E. 1.1</w:t>
      </w:r>
    </w:p>
    <w:p>
      <w:r>
        <w:t>Aux termes de l' art. 49 al. 1 OJ , le recours en réforme est recevable contre les décisions préjudicielles ou incidentes prises séparément du fond par les juridictions visées par l'art. 48 al. 1 et 2, pour violation des prescriptions de droit fédéral sur la compétence à raison de la matière ou sur la compétence territoriale, soit locale, soit internationale.</w:t>
      </w:r>
    </w:p>
    <w:p>
      <w:r>
        <w:rPr>
          <w:b/>
        </w:rPr>
        <w:t>E. 1.2</w:t>
      </w:r>
    </w:p>
    <w:p>
      <w:r>
        <w:t>En constatant la compétence à raison de la matière du Tribunal des baux et loyers et en renvoyant la cause auprès de cette autorité pour instruction et nouvelle décision, la Chambre d'appel a rendu une décision incidente, puisque la procédure va se poursuivre ( ATF 131 III 667 consid. 1.1). Cela étant, il convient d'examiner si l'autorité de dernière instance cantonale, qui a statué sur la compétence séparément du fond, a appliqué des prescriptions de droit fédéral.</w:t>
      </w:r>
    </w:p>
    <w:p>
      <w:r>
        <w:t>Pour déterminer si le litige relevait de la compétence matérielle du Tribunal de première instance ou du Tribunal des baux et loyers, la Chambre d'appel a fait application du droit cantonal, soit de l'art. 56A let. a LOJ gen., qui confère au Tribunal des baux et loyers la compétence pour statuer sur tout litige relatif au contrat de bail à loyer ou au contrat de bail à ferme non agricole portant sur une chose immobilière. Dans le cadre de l'examen de cette compétence, la Chambre d'appel a certes été amenée à se prononcer, à titre préjudiciel, sur une question de droit fédéral, à savoir si elle était en présence d'un litige relatif aux baux à loyer. Or, l'application du droit fédéral dans les motifs d'un jugement portant sur une question ressortissant au droit cantonal ne peut être l'objet ni d'un recours en réforme ni d'un recours en nullité, sauf dans l'hypothèse où, sur le point déterminant, le juge cantonal était tenu de prendre en considération la loi fédérale ( ATF 125 III 461 consid. 2; 115 II 237 consid. 1c; 102 II 53 consid. 1 et les arrêts cités; arrêt 4C.4/1999 du 12 avril 1999, consid. 1b; voir aussi Jean-François Poudret, Commentaire de la loi fédérale d'organisation judiciaire, vol. II, n. 1.4.1 ad art. 43 OJ ), - ce qui n'est pas le cas en l'espèce. En effet, la compétence ratione materiae en ce domaine - hormis l'exigence de l'autorité de conciliation - relève des seuls cantons conformément à l' art. 274 CO . Cela étant, quand bien même le droit cantonal se réfère à des notions de droit fédéral ( ATF 125 III 461 consid. 2 précité), le recours en réforme interjeté par le demandeur n'a pas trait à la violation du droit fédéral.</w:t>
      </w:r>
    </w:p>
    <w:p>
      <w:r>
        <w:rPr>
          <w:b/>
        </w:rPr>
        <w:t>E. 1.3</w:t>
      </w:r>
    </w:p>
    <w:p>
      <w:r>
        <w:t>Le recours en réforme ne peut ainsi qu'être déclaré irrecevable, sans qu'il ne soit nécessaire d'examiner les autres conditions de sa recevabilité.</w:t>
      </w:r>
    </w:p>
    <w:p>
      <w:r>
        <w:rPr>
          <w:b/>
        </w:rPr>
        <w:t>E. 2</w:t>
      </w:r>
    </w:p>
    <w:p>
      <w:r>
        <w:t>Le demandeur, qui succombe, supporte les frais de procédure fédérale ( art. 156 al. 1 OJ ); il n'y a pas lieu d'allouer de dépens aux défendeurs, qui n'ont pas été invités à répondre ( art. 159 al. 1 et 2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