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4C.218/2000 vom 6. Oktober 2000</w:t>
      </w:r>
    </w:p>
    <w:p>
      <w:r>
        <w:t>Bundesgericht, 2000-10-06, DE</w:t>
      </w:r>
    </w:p>
    <w:p>
      <w:r>
        <w:rPr>
          <w:b/>
        </w:rPr>
        <w:t xml:space="preserve">Quelle: </w:t>
      </w:r>
      <w:r>
        <w:t>https://mcp.opencaselaw.ch/entscheid/bger_4C.218_2000</w:t>
      </w:r>
    </w:p>
    <w:p>
      <w:r>
        <w:t>FR: TF 4C.218/2000 du 6 octobre 2000</w:t>
      </w:r>
    </w:p>
    <w:p>
      <w:r>
        <w:t>IT: TF 4C.218/2000 del 6 ottobre 2000</w:t>
      </w:r>
    </w:p>
    <w:p>
      <w:pPr>
        <w:pStyle w:val="Heading2"/>
      </w:pPr>
      <w:r>
        <w:t>Regeste</w:t>
      </w:r>
    </w:p>
    <w:p>
      <w:r>
        <w:t>Gesellschaftsrecht</w:t>
      </w:r>
    </w:p>
    <w:p>
      <w:pPr>
        <w:pStyle w:val="Heading2"/>
      </w:pPr>
      <w:r>
        <w:t>Erwägungen</w:t>
      </w:r>
    </w:p>
    <w:p>
      <w:r>
        <w:rPr>
          <w:b/>
        </w:rPr>
        <w:t>E. 1</w:t>
      </w:r>
    </w:p>
    <w:p>
      <w:r>
        <w:t>Der Antrag auf Rückweisung der Sache genügt im vorliegenden Fall, da dem angefochtenen Urteil keine hinreichenden Feststellungen entnommen werden können, die es dem Bundesgericht ermöglichen würden, im Falle der Gutheissung der Berufung ein Sachurteil zu fällen ( BGE 125 III 412 E. 1b S. 414). Aus der Begründung der Berufung ergibt sich allerdings nicht, inwiefern die Vorinstanz durch die Verneinung eines Feststellungsinteresses des Klägers und die Bestätigung des Nichteintretensentscheides der ersten Instanz auf das klägerische Rechtsbegehren 1 Bundesrechtsnormen verletzt haben soll ( Art. 55 lit. b und c OG ). Auf die Berufung ist daher nur insoweit einzutreten, als sie sich sinngemäss gegen die Abweisung der Klage in deren Begehren 2 und 3 richtet.</w:t>
      </w:r>
    </w:p>
    <w:p>
      <w:r>
        <w:rPr>
          <w:b/>
        </w:rPr>
        <w:t>E. 2</w:t>
      </w:r>
    </w:p>
    <w:p>
      <w:r>
        <w:t>Die Vorinstanz hat dem Kläger die Aktivlegitimation im Wesentlichen mit der Begründung abgesprochen, durch die vom Kläger behaupteten Handlungen der Beklagten 2 sei die einfache Gesellschaft des Klägers und des Beklagten 1 geschädigt, weshalb die entsprechenden Forderungen dem Kläger und dem Beklagten 1 gesamthänderisch zuständen, solange die Gesellschaft nicht liquidiert ist. Der Kläger rügt, die Vorinstanz habe verkannt, dass ihm aus verschiedenen Rechtstiteln alternativ und kumulativ Ansprüche gegen die Beklagte zustünden. a) Nach Art. 544 Abs. 1 OR gehören Sachen, dingliche Rechte oder Forderungen, die an die Gesellschaft übertragen oder für sie erworben sind, den Gesellschaftern nach Massgabe des Gesellschaftsvertrags gemeinschaftlich. Sofern vertraglich nichts Anderes bestimmt ist, sind daher die Gesellschafter am Gesellschaftsvermögen zu gesamter Hand berechtigt mit der Wirkung, dass sie nur gemeinsam, gegebenenfalls durch Stellvertreter, darüber verfügen können ( BGE 119 Ia 342 E. 2a S. 345; von Steiger, Die Personengesellschaften, SPR VIII/1, S. 381; Siegwart, Zürcher Kommentar, N 9/13 zu Art. 544 OR ; Pestalozzi/Wettenschwiler, Basler Kommentar, N 3 zu Art. 544 OR ; Tercier, Les contrats spéciaux, N 5710, S. 696; Meier-Hayoz/Forstmoser, Schweizerisches Gesellschaftsrecht, 8. Aufl. , N 16 f., S. 256; Engel, Contrats de droit suisse, 2. Aufl. , S. 720; Guhl/Koller/Druey, Das schweizerische Obligationenrecht, 9. Aufl. , S. 673). Zum Gesellschaftsvermögen gehören insbesondere auch Forderungen, welche der einfachen Gesellschaft gegenüber Dritten aus Delikt zustehen (vgl. Siegwart, a.a.O., N 1 zu Art. 544 OR ). Sie können nur von allen Gesellschaftern gemeinsam geltend gemacht werden, wenn sie mangels anderer vertraglicher Regelungen den Gesellschaftern gesamthänderisch zustehen. b) Der Kläger beruft sich zunächst auf Art. 41 Abs. 1 OR in Verbindung mit Art. 722 OR und bringt vor, er habe im kantonalen Verfahren prozessgerecht dargetan, dass ihn der Beklagte 1 durch eine Reihe von Scheintransaktionen mit der Beklagten 2 geschädigt habe. Der Kläger bestreitet dabei nicht, dass diese Transaktionen zu Lasten des Gesellschaftsvermögens getätigt wurden, wie die Vorinstanz im angefochtenen Urteil in Übereinstimmung mit den klägerischen Sachbehauptungen im kantonalen Verfahren feststellt. Da aber der Beklagte 1 als Mitgesellschafter im Zusammenwirken mit der Beklagten 2 als deren Verwaltungsrat die Transaktionen zu Lasten des Gesellschaftsvermögens getätigt habe, vertritt der Kläger die Ansicht, er allein als übriger Gesellschafter habe gegen den schädigenden Gesellschafter Schadenersatzansprüche. Er beruft sich dabei auf BGE 110 II 339 E. 1 und 2 (recte 100 II 339) und BGE 99 II 315 E. 5 S. 321. In diesen Urteilen ging es um die - deliktischen und vertraglichen - Ansprüche, welche die übrigen Gesellschafter gegen den geschäftsführenden Gesellschafter auf Grund der Art. 549, 538 und 540 OR haben, somit um das interne Verhältnis unter den Gesellschaftern. Der Kläger hat im hier zur Beurteilung stehenden Rechtsbegehren 2 jedoch eine Forderung gegenüber der Beklagten 2 eingeklagt, die ihrerseits am Gesellschaftsverhältnis nicht beteiligt ist. Inwiefern in diesem Verhältnis gegenüber Dritten eine Ausnahme für die Legitimation gemacht werden könnte (vgl. BGE 119 Ia 342 E. 2a S. 345), legt der Kläger nicht dar und ist auch nicht ersichtlich. An Forderungen gegenüber an der einfachen Gesellschaft unbeteiligten Dritten sind vielmehr alle Gesellschafter gemeinsam aktivlegitimiert, sofern sie im Gesellschaftsvertrag nichts Anderes vereinbart haben. c) Der Kläger bringt an sich zutreffend vor, dass jeweils konkret zu prüfen ist, wer durch eine unerlaubte Handlung (unmittelbar) geschädigt ist. Er stellt jedoch nicht in Abrede, dass durch die von den Beklagten begangenen deliktischen Handlungen die einfache Gesellschaft geschädigt ist. Der Kläger bestreitet ebenfalls nicht, dass das Gesellschaftsvermögen mangels anderer Vertragsabrede im Gesamteigentum der Gesellschafter steht. Unter diesen Umständen ist bis zur Liquidation der einfachen Gesellschaft entgegen der Ansicht des Klägers davon auszugehen, dass Träger der Forderung beide Gesellschafter zu gesamter Hand sind. Dies schliesst im externen Verhältnis zur Beklagten 2 aus, den Schaden, der im nicht liquidierten Gesellschaftsvermögen entstanden ist, nur dem einen Gesellschafter zuzurechnen. In BGE 78 IV 24 , auf den sich der Kläger beruft, ging es um die Forderung eines Gesellschafters gegen den Mitgesellschafter, nicht wie hier um eine Forderung gegen den am Delikt mitwirkenden Nicht-Gesellschafter. Die Begründung, mit welcher der Kläger darzutun versucht, dass die Forderung der Gesellschafter zu gesamter Hand dem am Delikt beteiligten Mitgesellschafter nicht zustehe, ist zwar für die internen gegenseitigen Ansprüche der Gesellschafter und insbesondere im Rahmen der Liquidation der Gesellschaft von Bedeutung, im Verhältnis zu Dritten ist sie jedoch unerheblich. d) Eine direkte Schädigung durch die Beklagte 2 vermag der Kläger auch unter Berufung auf Art. 41 Abs. 2 OR und aus culpa in contrahendo nicht zu begründen. Die Ausführungen zur Sittenwidrigkeit oder Treuwidrigkeit der Transaktionen, mit denen die Beklagte 2 zusammen mit dem Beklagten 1 das Gesellschaftsvermögen der einfachen Gesellschaft schädigte, vermögen nichts daran zu ändern, dass der Kläger durch diese Transaktionen nicht unmittelbar in seinem Vermögen geschädigt worden ist, sondern dass sich dadurch der Wert seiner Berechtigung am Gesellschaftsvermögen der einfachen Gesellschaft vermindert hat. Individuell berechtigt sind die Gesellschafter an Zinsen, Gewinnanteilen, Honoraren, festen Bezügen und am Liquidationsanteil (Siegwart, a.a.O. N 18 zu Art. 544 OR ), nicht aber an Forderungen aus unerlaubten Handlungen, durch die das Vermögen der einfachen Gesellschaft geschädigt worden ist. Die Vorinstanz hat die Aktivlegitimation des Klägers an den von ihm eingeklagten Forderungen aus Schädigung der nicht liquidierten einfachen Gesellschaft bundesrechtskonform verneint.</w:t>
      </w:r>
    </w:p>
    <w:p>
      <w:r>
        <w:rPr>
          <w:b/>
        </w:rPr>
        <w:t>E. 3</w:t>
      </w:r>
    </w:p>
    <w:p>
      <w:r>
        <w:t>Der Kläger hält daran fest, dass er im kantonalen Verfahren prozesskonform dargetan habe, die Mit-Berechtigung des Beklagten 1 sei erloschen. Er hält dafür, der Antrag des Beklagten 1 auf Abweisung des Eventualbegehrens 3, mit dem der Kläger die Leistung an den Einzelschiedsrichter zwecks Verteilung gemäss Schieds- oder Gerichtsentscheid oder Vereinbarung zwischen dem Kläger und dem Beklagten 1 verlangt habe, sei als definitiver Verzicht des Beklagten 1 zu interpretieren. Er geht dabei selbst davon aus, die Forderung müsse "gültig eingeklagt" sein - dass er in Vertretung der Gesellschaft zur Klage ermächtigt bzw. bevollmächtigt sei, behauptet er jedoch nicht. Auch ergibt sich aus dem vom Kläger zitierten BGE 83 II 26 , dass der Verzicht als Vertrag durch übereinstimmende gegenseitige Willensäusserung der Parteien zustande kommt und folglich entsprechend auszulegen ist ( BGE 126 III 59 E. 5 S. 67). Inwiefern die Vorinstanz den im Berufungsverfahren allein zu prüfenden Vertrauensgrundsatz ( BGE 118 II 365 E. 1 S. 365 f.) verletzt haben sollte, wenn sie den Antrag des Beklagten 1 nicht als Verzicht auslegte, ist der Berufung nicht zu entnehmen. 4.-Der Kläger bringt schliesslich vor, die Berufung der Beklagten auf seine fehlende Aktivlegitimation erfolge missbräuchlich. a) Dass die Forderung, welche die gesamthänderisch berechtigten Gesellschafter nach den Sachvorbringen des Klägers gegen die Beklagte 2 haben, deliktischer Natur ist und der Beklagte 1 als Gesellschafter am Delikt mitgewirkt hat, ändert an der Aktivlegitimation nichts. Die Art des Rechtserwerbs kann nicht zur Begründung von Rechtsmissbrauch dienen, soweit es wie hier um die prozessuale Geltendmachung der Forderung geht. b) Die Vorinstanz hat dargetan, dass dem Kläger rechtlich die Möglichkeit zustand, gegen den Beklagten 1 Klage auf Zustimmung oder auf Einsetzung eines Liquidators zu erheben. Der Kläger behauptet in der Berufung nicht, diese Erwägung sei bundesrechtswidrig. Er vertritt vielmehr die Auffassung, er habe rechtsmissbräuchliches Verhalten der Beklagten im kantonalen Verfahren prozessgerecht dargetan mit der Behauptung, der Beklagte 1 habe mit der von ihm wirtschaftlich beherrschten Beklagten 2 versucht, die letzten noch vorhandenen Aktiven verschwinden zu lassen. Überdies habe der Beklagte 1 das Schiedsverfahren verzögert, in welchem der Kläger die Einsetzung eines Liquidators und die Übertragung sämtlicher Aktiven an ihn beantragt habe. Schliesslich habe der Beklagte 1 die Abweisung auch des Eventualantrags beantragt, mit dem der Kläger die Zahlung zuhanden der beiden Gesellschafter gemeinsam verlangt habe. Der Kläger verkennt mit diesen Vorbringen, dass die Berufung auf Rechtsmissbrauch nicht dazu dienen kann, ein prozessual nutzloses Vorgehen zu honorieren, wenn ein nützliches Verfahren zur Verfügung gestanden, dieses aber nicht, nicht rechtzeitig oder nicht gehörig eingeschlagen worden ist. Aus seinen Behauptungen, die er nach der Darstellung in der Berufung im kantonalen Verfahren vorgebracht hat, ergibt sich jedoch nicht, dass er im Schiedsverfahren sämtliche ihm zur Verfügung stehenden Möglichkeiten genutzt hätte, weshalb auch der Beweis dieser Behauptungen zur Begründung eines rechtsmissbräuchlichen Verhaltens der Beklagten zum Vornherein nicht ausgereicht hätte. Art. 8 ZGB ist diesbezüglich nicht verletzt. Wenn sich die Beklagten der Durchsetzung von Forderungen widersetzen, an welcher der Kläger nicht aktivlegitimiert ist, handeln sie nicht rechtsmissbräuchlich. Die Vorinstanz hat auch insofern keine Bundesrechtsnormen verletzt. 5.-Die Berufung ist als unbegründet abzuweisen, soweit darauf einzutreten ist. Das angefochtene Urteil des Kantonsgerichts Graubünden ist demzufolge zu bestätigen. Entsprechend dem Verfahrensausgang hat der Kläger die Gerichtsgebühr zu tragen und den anwaltlich vertretenen Beklagten 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