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4C.215/2002 vom 11. November 2002</w:t>
      </w:r>
    </w:p>
    <w:p>
      <w:r>
        <w:t>Bundesgericht, 2002-11-11, DE</w:t>
      </w:r>
    </w:p>
    <w:p>
      <w:r>
        <w:rPr>
          <w:b/>
        </w:rPr>
        <w:t xml:space="preserve">Quelle: </w:t>
      </w:r>
      <w:r>
        <w:t>https://mcp.opencaselaw.ch/entscheid/bger_4C.215_2002</w:t>
      </w:r>
    </w:p>
    <w:p>
      <w:r>
        <w:t>FR: TF 4C.215/2002 du 11 novembre 2002</w:t>
      </w:r>
    </w:p>
    <w:p>
      <w:r>
        <w:t>IT: TF 4C.215/2002 del 11 novembre 2002</w:t>
      </w:r>
    </w:p>
    <w:p>
      <w:pPr>
        <w:pStyle w:val="Heading2"/>
      </w:pPr>
      <w:r>
        <w:t>Regeste</w:t>
      </w:r>
    </w:p>
    <w:p>
      <w:r>
        <w:t>Obligationenrecht (allgemein)</w:t>
      </w:r>
    </w:p>
    <w:p>
      <w:pPr>
        <w:pStyle w:val="Heading2"/>
      </w:pPr>
      <w:r>
        <w:t>Erwägungen</w:t>
      </w:r>
    </w:p>
    <w:p>
      <w:r>
        <w:rPr>
          <w:b/>
        </w:rPr>
        <w:t>E. 1</w:t>
      </w:r>
    </w:p>
    <w:p>
      <w:r>
        <w:t>Die Vorinstanz hat den Standpunkt des Klägers verworfen, wonach dieser derart intensiv zur Finanzierung des B.________ gewährten Baukredits beigezogen worden sei, dass von einem Vertragsverhältnis zwischen ihm und der Beklagten ausgegangen werden könne. Ebenso wenig haben nach Auffassung der Vorinstanz B.________ und die Beklagte einen Vertrag zugunsten eines Dritten, des Klägers, im Sinne von Art. 112 Abs. 2 OR abgeschlossen. Das kantonale Urteil ist insoweit unangefochten geblieben. Darauf ist nicht zurückzukommen.</w:t>
      </w:r>
    </w:p>
    <w:p>
      <w:r>
        <w:rPr>
          <w:b/>
        </w:rPr>
        <w:t>E. 2.1</w:t>
      </w:r>
    </w:p>
    <w:p>
      <w:r>
        <w:t>Zwischen den Parteien ist streitig, ob die Beklagte für erwecktes Vertrauen haftet. Nach Auffassung der Vorinstanz hat die Beklagte sich nicht derart verhalten, dass der Kläger damit rechnen durfte, die Beklagte würde der Übertragung oder Löschung der Hypothek ohne vollständige Tilgung der Belastung zustimmen. Zudem habe der Kläger um die hypothekarische Belastung der für ihn reservierten Wohnung und des dazu gehörenden Einstellplatzes seit September 1993 gewusst. Der Kläger seinerseits vertritt den Standpunkt, dass die Beklagte bei Bezahlung des Differenzbetrages zwischen dem Kaufpreis des für den Kläger reservierten Stockwerkanteils und dem Werklohn die Inhaberobligation hätte aushändigen müssen. Die Beklagte habe vom Kläger einen Finanzierungsausweis verlangt und diesen trotz der darin eingefügten Klausel betreffend die Aushändigung der Inhaberobligation vorbehaltlos entgegengenommen, woraus auf das Akzept dieser Klausel geschlossen werden müsse. Das dadurch erweckte Vertrauen des Klägers habe die Beklagte insofern enttäuscht, als sie nicht bereit war, nach Bezahlung des erwähnten Betrages die Inhaberobligation dem Kläger oder seiner Bank herauszugeben.</w:t>
      </w:r>
    </w:p>
    <w:p>
      <w:r>
        <w:rPr>
          <w:b/>
        </w:rPr>
        <w:t>E. 2.2</w:t>
      </w:r>
    </w:p>
    <w:p>
      <w:r>
        <w:t>Die Haftung aus erwecktem und enttäuschtem Vertrauen setzt das Bestehen einer rechtlichen Sonderverbindung voraus. Diese unterscheidet sich von der deliktsrechtlichen Konstellation des zufälligen und ungewollten Zusammenpralls beliebiger Personen dadurch, dass die Beteiligten - ausserhalb einer vertraglichen Bindung - rechtlich in besonderer Nähe zueinander stehen, wobei sie einander gegenseitig Vertrauen gewähren und Vertrauen in Anspruch nehmen. Aus dieser rechtlichen Sonderverbindung ergeben sich aus Treu und Glauben ( Art. 2 ZGB ) hergeleitete Schutz- und Aufklärungspflichten ( BGE 120 II 331 E. 5a S. 336). Eine derartige Sonderverbindung entsteht allerdings nur aus bewusstem oder normativ zurechenbarem Verhalten der in Anspruch genommenen Person (SJ 2000 I S. 549ff., S. 554, 4C.280/1999). Schutzwürdiges Vertrauen setzt zudem ein Verhalten des Schädigers voraus, das geeignet ist, hinreichend konkrete und bestimmte Erwartungen des Geschädigten zu wecken ( BGE 124 III 297 E. 6a S. 304). Trifft der Geschädigte sich als nachteilig erweisende Dispositionen, hat der Schädiger für den aus enttäuschtem Vertrauen verursachten Schaden einzustehen ( BGE 128 III 324 E. 2.2 S. 327).</w:t>
      </w:r>
    </w:p>
    <w:p>
      <w:r>
        <w:rPr>
          <w:b/>
        </w:rPr>
        <w:t>E. 2.3</w:t>
      </w:r>
    </w:p>
    <w:p>
      <w:r>
        <w:t>Gemäss den für das Bundesgericht verbindlichen Feststellungen der Vorinstanz ( Art. 63 Abs. 2 OG ) bestand das Verhalten der Beklagten darin, dass sie vom Kläger einen Finanzierungsausweis als Bedingung zur Gewährung des Baukredits an B.________ verlangte. Der Kläger wusste um die Zweckbestimmung des Finanzierungsausweises. Nach dessen Erhalt gewährte die Beklagte B.________ den Baukredit. Allein dieses Verhalten der Beklagten vermag aber keine Grundlage für ein besonderes Vertrauensverhältnis zwischen ihr und dem Kläger abzugeben. Die vom Kläger geltend gemachten Erwartungen sind jedenfalls nicht dem Verhalten der Beklagten zuzurechnen. Es kann daher offen gelassen werden, ob die vom Kläger erst im Berufungsverfahren geltend gemachten Umstände, aus denen er eine rechtliche Sonderverbindung herleitet, als unzulässige Noven ausser Betracht fallen müssen ( Art. 55 Abs. 1 lit. c OG ).</w:t>
      </w:r>
    </w:p>
    <w:p>
      <w:r>
        <w:rPr>
          <w:b/>
        </w:rPr>
        <w:t>E. 2.4</w:t>
      </w:r>
    </w:p>
    <w:p>
      <w:r>
        <w:t>Selbst wenn von einer rechtlichen Sonderverbindung ausgegangen werden müsste, wäre entgegen der Auffassung des Klägers das blosse Schweigen der Beklagten nach Erhalt des Finanzierungsausweises nicht als stillschweigendes Einverständnis zu betrachten, dem Kläger gegen Bezahlung der Differenz zwischen Kaufpreis und Werklohn die Inhaberobligation herauszugeben. Die Klausel betreffend die Aushändigung der Inhaberobligation steht in einem von der Bank des Klägers aufgestellten Text und ist folglich diesem zuzurechnen. Die Formulierung der Klausel "[B]ei ... Überweisung der Restzahlung wird die Bank Z.________ die IGV (Inhabergrundpfandverschreibung) von Fr. 110'000.- im ersten Rang abtreten" ist mehrdeutig. Der objektive Wortlaut der Klausel könnte durchaus auch in dem Sinne verstanden werden, dass das Wort "Restzahlung" die Hypothekarschuld von Fr. 110'000.-- einschliesst. Nach der Unklarheitsregel sind unklare Bestimmungen zu Ungunsten jener Partei auszulegen, die sie verfasst hat, sofern die Unklarheit nicht durch Auslegung beseitigt werden kann ( BGE 124 III 155 E. 1b S. 158; 122 III 118 E. 2d S. 124, je mit Hinweisen). Da keine Anhaltspunkte ersichtlich sind, die unter Anwendung der übrigen Auslegungsregeln zur Klärung des Wortlauts führen, muss die Klausel in dem Sinne zu Ungunsten des Klägers ausgelegt werden, dass das Wort "Restschuld" sich auf die Hypothekarschuld von Fr. 110'000.-- bezieht. Der Kläger durfte daher die vorbehaltlose Annahme des Finanzierungsausweises nicht in dem von ihm verstandenen Sinne deuten. Angesichts der dem Kläger zuzuschreibenden Mehrdeutigkeit der Klausel ist nicht ersichtlich, inwiefern die Beklagte rechtsmissbräuchlich handelte, indem sie auf der Zahlung der Hypothekarschuld von Fr. 110'000.-- beharrte.</w:t>
      </w:r>
    </w:p>
    <w:p>
      <w:r>
        <w:rPr>
          <w:b/>
        </w:rPr>
        <w:t>E. 3.1</w:t>
      </w:r>
    </w:p>
    <w:p>
      <w:r>
        <w:t>Gemäss Art. 832 ZGB bleibt, wenn es nicht anders vereinbart ist, bei der Veräusserung eines mit einer Grundpfandverschreibung belasteten Grundstücks die Haftung des Grundpfandes und des Schuldners unverändert (Abs. 1). Hat aber der neue Eigentümer eines verpfändeten Grundstücks die Schuldpflicht für die Pfandforderung übernommen, so wird der frühere Schuldner frei, wenn der Gläubiger diesem gegenüber nicht binnen Jahresfrist schriftlich erklärt, ihn beibehalten zu wollen (Abs. 2). Nach Art. 834 Abs. 1 ZGB hat der Grundbuchverwalter dem Gläubiger von der Übernahme der Schuld durch den Erwerber Kenntnis zu geben. Aus diesen Regeln ergibt sich, dass die Veräusserung eines mit einer Grundpfandverschreibung belasteten Grundstücks nicht automatisch zu einem Schuldnerwechsel führt. Erforderlich ist vielmehr ein Schuldübernahmevertrag zwischen Gläubiger und Drittem, welcher den Regeln von Art. 175ff. OR unter Vorbehalt von Art. 832 Abs. 2 ZGB zu genügen hat ( Art. 183 OR ; BGE 121 III 256 E. 3 S. 257ff., mit Hinweisen).</w:t>
      </w:r>
    </w:p>
    <w:p>
      <w:r>
        <w:rPr>
          <w:b/>
        </w:rPr>
        <w:t>E. 3.2</w:t>
      </w:r>
    </w:p>
    <w:p>
      <w:r>
        <w:t>Gemäss den verbindlichen Feststellungen der Vorinstanz verpflichtete sich der Kläger gegenüber B.________ im öffentlich beurkundeten Kaufvertrag zur Übernahme der durch die Hypothek Nr. 862/1993 sichergestellten Schuld von Fr. 110'000.--. Aus dem angefochtenen Urteil ergibt sich, dass das Grundbuchamt die Anzeige der Schuldübernahme der Beklagten unter Hinweis auf Art. 832 und 834 ZGB am 14. März 1997 zustellte. Weiter stellte die Vorinstanz fest, dass die Beklagte gegenüber B.________ binnen Jahresfrist keine schriftliche Erklärung im Sinne von Art. 832 Abs. 2 ZGB abgab, diesen als Schuldner beibehalten zu wollen, sondern im Gegenteil der Schuldübernahme durch den Kläger zustimmte.</w:t>
      </w:r>
    </w:p>
    <w:p>
      <w:r>
        <w:rPr>
          <w:b/>
        </w:rPr>
        <w:t>E. 3.3</w:t>
      </w:r>
    </w:p>
    <w:p>
      <w:r>
        <w:t>Der Kläger bringt vor, die Vorinstanz habe das vom 29. Januar 1998 datierende Schreiben der Beklagten nicht berücksichtigt, worin die Beklagte dem Kläger mitgeteilt habe, dass sie sich das Recht vorbehalte, den Kläger innert der gesetzlichen Frist als neuen Schuldner zu akzeptieren oder abzulehnen. Diese Tatsache sei in die Urteilsfindung einzubeziehen und der Sachverhalt deshalb im Sinne von Art. 64 OG zu ergänzen. Der Kläger legt indessen nicht dar, inwiefern sich aus dem Schreiben vom 29. Januar 1998 ergeben soll, dass die Beklagte ihn als neuen Schuldner ablehnt. Ebenso wenig bringt er vor, dass die Beklagte hernach auf der Beibehaltung von B.________ als Schuldner beharrt hätte. Die beantragte Sachverhaltsergänzung hat daher mangels Erheblichkeit zu unterbleiben.</w:t>
      </w:r>
    </w:p>
    <w:p>
      <w:r>
        <w:rPr>
          <w:b/>
        </w:rPr>
        <w:t>E. 3.4</w:t>
      </w:r>
    </w:p>
    <w:p>
      <w:r>
        <w:t>Die Vorinstanz kommt in Würdigung der Beweise zum Schluss, dass die Beklagte den tatsächlichen Willen hatte, den Kläger als neuen Schuldner zu akzeptieren. Soweit der Kläger geltend macht, die externe Schuldübernahme sei nicht erfolgt, übt er unzulässige Kritik an der Beweiswürdigung der Vorinstanz ( BGE 125 III 78 E. 3a S. 79). In Anbetracht des positiven Beweisergebnisses ist auch die Rüge der Verletzung von Art. 8 ZGB fehl am Platz. Wo das Gericht in Würdigung der Beweise zur Überzeugung gelangt, eine Tatsachenbehauptung sei erwiesen oder widerlegt, ist die Frage der Beweislastverteilung gegenstandslos ( BGE 128 III 22 E. 2d S. 25, mit Hinweisen). Ebenso wenig legt der Kläger rechtsgenüglich dar, inwiefern weitere Bestimmungen des Bundesrechts verletzt sein sollen ( Art. 55 Abs. 1 lit. c OG ). Auf die Berufung ist insoweit nicht einzutreten.</w:t>
      </w:r>
    </w:p>
    <w:p>
      <w:r>
        <w:rPr>
          <w:b/>
        </w:rPr>
        <w:t>E. 3.5</w:t>
      </w:r>
    </w:p>
    <w:p>
      <w:r>
        <w:t>Soweit der Kläger behauptet, die Beklagte sei im Konkursverfahren von B.________ für die streitige Forderung bereits teilweise befriedigt worden, ist er ebenfalls nicht zu hören. Aus dem angefochtenen Urteil geht nicht hervor, dass dies zutrifft. Der Kläger legt nicht dar, bereits im kantonalen Verfahren prozesskonform auf diesen Umstand hingewiesen zu haben. Die Behauptung ist daher ein Novum und als solches unzulässig ( Art. 55 Abs. 1 lit. c OG ).</w:t>
      </w:r>
    </w:p>
    <w:p>
      <w:r>
        <w:rPr>
          <w:b/>
        </w:rPr>
        <w:t>E. 4</w:t>
      </w:r>
    </w:p>
    <w:p>
      <w:r>
        <w:t>Insgesamt ist die Berufung abzuweisen, soweit darauf eingetreten werden kann. Dem Ausgang des Verfahrens entsprechend ist die Gerichtsgebühr dem Kläger aufzuerlegen ( Art. 156 Abs. 1 OG ). Dieser hat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