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4C.215/2001 vom 15. Januar 2002</w:t>
      </w:r>
    </w:p>
    <w:p>
      <w:r>
        <w:t>Bundesgericht, 2002-01-15, DE</w:t>
      </w:r>
    </w:p>
    <w:p>
      <w:r>
        <w:rPr>
          <w:b/>
        </w:rPr>
        <w:t xml:space="preserve">Quelle: </w:t>
      </w:r>
      <w:r>
        <w:t>https://mcp.opencaselaw.ch/entscheid/bger_4C.215_2001</w:t>
      </w:r>
    </w:p>
    <w:p>
      <w:r>
        <w:t>FR: TF 4C.215/2001 du 15 janvier 2002</w:t>
      </w:r>
    </w:p>
    <w:p>
      <w:r>
        <w:t>IT: TF 4C.215/2001 del 15 gennaio 2002</w:t>
      </w:r>
    </w:p>
    <w:p>
      <w:pPr>
        <w:pStyle w:val="Heading2"/>
      </w:pPr>
      <w:r>
        <w:t>Regeste</w:t>
      </w:r>
    </w:p>
    <w:p>
      <w:r>
        <w:t>Haftpflichtrecht</w:t>
      </w:r>
    </w:p>
    <w:p>
      <w:pPr>
        <w:pStyle w:val="Heading2"/>
      </w:pPr>
      <w:r>
        <w:t>Erwägungen</w:t>
      </w:r>
    </w:p>
    <w:p>
      <w:r>
        <w:rPr>
          <w:b/>
        </w:rPr>
        <w:t>E. 1</w:t>
      </w:r>
    </w:p>
    <w:p>
      <w:r>
        <w:t>a) Die Vorinstanz hat den Schaden des Klägers aus Erwerbsausfall auf den Urteilstag konkret berechnet und auf Fr. 123'225.-- festgesetzt. Sie hat vom Lohn, welchen der Kläger ohne das schädigende Ereignis bis zu diesem Tag erzielt hätte, dessen tatsächliche Bezüge aus Arbeitserwerb und Versicherungsleistungen abgezogen, darunter auch Zahlungen der "Versicherung X.________" von insgesamt Fr. 16'000.--. Dazu erläutert die Vorinstanz, dass das Zivilgericht implizit davon ausgegangen sei, die Zahlungen der Versicherung seien zur Deckung der Erwerbsunfähigkeit des Klägers geleistet worden. Aus diesem Grund und weil sich der Kläger den Betrag in seiner Klageschrift selbst habe anrechnen lassen, hielt die Vorinstanz den Abzug übereinstimmend mit dem Zivilgericht für gerechtfertigt. b) Der Kläger macht geltend, das Zivilgericht habe den Kausalzusammenhang zwischen dem zweiten Unfall des Klägers und dessen Invalidität verneint. Da aber die Leistungen der "Versicherung X.________" nur die Folgen des zweiten Unfalls betroffen hätten, könne damit die dauernde Arbeitsunfähigkeit, die ja ausschliesslich auf das erste Unfallereignis zurückzuführen sei, nicht abgedeckt sein. c) Die Argumentation des Klägers geht an der Sache vorbei. In diesem Zusammenhang ist nicht ausschlaggebend, welchem Unfall die Invalidität zuzuschreiben ist, sondern welche Art Einbusse die Versicherung mit ihrer Zahlung ausgeglichen hat. Dazu hat die Vorinstanz aus dem Verhalten des Klägers im Prozess, mithin in Beweiswürdigung festgestellt, es habe sich dabei um Erwerbsersatz gehandelt. An diese Feststellung ist das Bundesgericht im Berufungsverfahren gebunden (Art. 55 Abs. 1 lit. c und 63 Abs. 2 OG). Die Rüge des Klägers erweist sich damit als unbegründet, soweit sie zu hören ist.</w:t>
      </w:r>
    </w:p>
    <w:p>
      <w:r>
        <w:rPr>
          <w:b/>
        </w:rPr>
        <w:t>E. 2</w:t>
      </w:r>
    </w:p>
    <w:p>
      <w:r>
        <w:t>a) Hinsichtlich des künftigen Invaliditätsschadens ging das Kantonsgericht im Gegensatz zur ersten Instanz davon aus, der Kläger hätte seine Erwerbstätigkeit mit dem Eintritt ins AHV-Alter aufgegeben. Demgemäss berechnete es den Barwert des zukünftigen Erwerbsausfalls gestützt auf die Aktivitätstafel 18 und nicht gemäss der Aktivitätstafel 20 der Barwerttafeln von Stauffer/Schätzle (4. Auflage, Zürich 1989). Dies beanstandet der Kläger grundsätzlich nicht. Er rügt indessen, die Vorinstanz habe ausser Acht gelassen, dass ihm wegen des vorzeitigen Ausscheidens aus dem Arbeitsprozess Arbeitgeberbeiträge an seine berufliche Vorsorge entgangen seien. Zwar würde ein allfälliges Freizügigkeitsguthaben als Freizügigkeitspolice weitergeführt, jedoch entfielen die weitere Äufnung des Altersguthabens und die Verzinsung zu mindestens 4 % gemäss Art. 12 BVV 2 (Verordnung über die berufliche Alters-, Hinterlassenen- und Invalidenvorsorge vom 18. April 1984; SR 831. 441.1). Der Schaden erhöhe sich daher um die Altersgutschriften, errechnet nach Art. 16 BVG (Bundesgesetz über die berufliche Alters-, Hinterlassenen- und Invalidenvorsorge vom 25. Juni 1982; SR 831. 40), was Fr. 59'716. 50 und nach Verzinsung Fr. 93'158.-- ergebe. Unter Einbezug dieses Schadens resultiert nach Auffassung des Klägers ein künftiger Schaden von Fr. 33'941.-- und nicht eine Überentschädigung von Fr. 59'217.--, wie sie die Vorinstanz errechnet habe. b) In der Berufungsantwort wird zu Recht darauf hingewiesen, dass der Kläger damit einen Rentenschaden geltend macht. Der Beklagte behauptet zudem, der Kläger habe im kantonalen Verfahren keinen solchen Schaden eingeklagt. Es würde sich somit um ein nach Art. 55 Abs. 1 lit. c OG unzulässiges neues Rechtsbegehren handeln. Wie es sich damit verhält, kann indessen offen bleiben, da die Forderung jedenfalls unbegründet ist. aa) Nach der Rechtsprechung des Bundesgerichts gilt als Schaden nicht der Ausfall von Arbeitgeberbeiträgen an AHV und Pensionskasse als solcher, sondern die Kürzung von Altersleistungen, zu welchen die Beitragslücken führen ( BGE 126 III 41 E. 3 mit Hinweisen). Dass der Kläger wegen seiner Arbeitsunfähigkeit eine Einbusse an BVG-Altersleistungen erleiden wird, legt er nicht dar. Aufgrund der gesetzlichen Regelung ist auch nicht ersichtlich, inwiefern bei den BVG-Altersleistungen ein Rentenschaden entstehen soll, der die gemäss angefochtenem Urteil Fr. 59'217.-- betragende und im Übrigen unangefochtene Überentschädigung übersteigt. bb) Nach Art. 24 Abs. 2 BVG wird die Invalidenrente nach dem gleichen Umwandlungssatz (mindestens 7,2 Prozent; Art. 17 Abs. 1 BVV 2 in Verbindung mit Art. 14 Abs. 1 BVG ) berechnet wie die Altersrente. Das zugrunde zu legende Altersguthaben besteht aus jenem, das der Versicherte bis zum Beginn des Anspruchs auf die Invalidenrente erworben hat (lit. a) und der Summe der Altersgutschriften für die bis zum Rentenalter fehlenden Jahre, unter Ausschluss von Zinsen (lit. b). Die der Berechnung der Invalidenrente zugrunde zu legenden Altersgutschriften für die bis zum Rentenalter fehlenden Jahre werden auf dem koordinierten Lohn des Versicherten während seines letzten Versicherungsjahres in der Vorsorgeeinrichtung berechnet ( Art. 24 Abs. 3 BVG ). Dieser entspricht dem letzten koordinierten Jahreslohn, der für die Altersgutschriften festgelegt wurde ( Art. 18 Abs. 1 BVV 2 ). War die versicherte Person während des Jahres vor dem Versicherungsfall wegen Krankheit, Unfall oder aus ähnlichen Gründen nicht voll erwerbsfähig, wird der koordinierte Jahreslohn aufgrund des Lohnes bei voller Erwerbsfähigkeit berechnet ( Art. 18 Abs. 3 BVV 2 ). Führt ein Beitragsausfall demnach nicht zu einer Leistungskürzung, bilden die entgangenen Arbeitgeberbeiträge keinen Schaden (Schaetzle/Weber, Kapitalisieren, Handbuch zur Anwendung der Barwerttafeln,</w:t>
      </w:r>
    </w:p>
    <w:p>
      <w:r>
        <w:rPr>
          <w:b/>
        </w:rPr>
        <w:t>E. 5</w:t>
      </w:r>
    </w:p>
    <w:p>
      <w:r>
        <w:t>Aus diesen Gründen ist die Berufung abzuweisen und das angefochtene Urteil zu bestätigen. Bei diesem Ausgang des Verfahrens kann das Bundesgericht den Kostenspruch der Vorinstanz im Rahmen des Berufungsverfahrens nicht überprüfen bzw. ändern (114 II 144 E. 4). Die diesbezüglichen Vorbringen des Klägers sind nicht zu hören. Die Gerichtsgebühr ist dem Kläger aufzuerlegen ( Art. 156 Abs. 1 OG ). Dieser hat den Beklagten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