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4C.210/2006 vom 23. Oktober 2006</w:t>
      </w:r>
    </w:p>
    <w:p>
      <w:r>
        <w:t>Bundesgericht, 2006-10-23, DE</w:t>
      </w:r>
    </w:p>
    <w:p>
      <w:r>
        <w:rPr>
          <w:b/>
        </w:rPr>
        <w:t xml:space="preserve">Quelle: </w:t>
      </w:r>
      <w:r>
        <w:t>https://mcp.opencaselaw.ch/entscheid/bger_4C.210_2006</w:t>
      </w:r>
    </w:p>
    <w:p>
      <w:r>
        <w:t>FR: TF 4C.210/2006 du 23 octobre 2006</w:t>
      </w:r>
    </w:p>
    <w:p>
      <w:r>
        <w:t>IT: TF 4C.210/2006 del 23 ottobre 2006</w:t>
      </w:r>
    </w:p>
    <w:p>
      <w:pPr>
        <w:pStyle w:val="Heading2"/>
      </w:pPr>
      <w:r>
        <w:t>Erwägungen</w:t>
      </w:r>
    </w:p>
    <w:p>
      <w:r>
        <w:rPr>
          <w:b/>
        </w:rPr>
        <w:t>E. 1</w:t>
      </w:r>
    </w:p>
    <w:p>
      <w:r>
        <w:t>Die Berufung der Beklagten richtet sich gegen den selbständigen Zwischenentscheid über die Zuständigkeit, mit dem die Vorinstanz auf die Klage der Klägerinnen 1 und 2 vollumfänglich eingetreten ist. Sie ist gemäss Art. 49 OG grundsätzlich zulässig, da der Entscheid des Handelsgerichts des Kantons Zürich nicht durch ein ordentliches kantonales Rechtsmittel angefochten werden kann ( Art. 48 Abs. 1 OG ) und er die örtliche bzw. internationale Zuständigkeit betrifft, welche die Vorinstanz in Anwendung bundesrechtlicher Normen bzw. der Bestimmungen des Lugano-Übereinkommens (LugÜ; SR 0.275.11) bejaht hat ( BGE 123 III 414 E. 2b S. 418 mit Verweisen). Da die übrigen Voraussetzungen ohne weiteres erfüllt sind, ist auf die Berufung einzutreten.</w:t>
      </w:r>
    </w:p>
    <w:p>
      <w:r>
        <w:rPr>
          <w:b/>
        </w:rPr>
        <w:t>E. 2</w:t>
      </w:r>
    </w:p>
    <w:p>
      <w:r>
        <w:t>Die Vorinstanz hat ihre Zuständigkeit zur Beurteilung des Rechtsbegehrens 2 für die in der Schweiz domizilierten Klägerinnen 1 und 2 mit der Begründung bejaht, die Klägerinnen könnten sich zur Begründung der örtlichen Zuständigkeit auf ihren eigenen Wohnsitz berufen, da sie eine negative Feststellung verlangten und sich der umstrittene Anspruch daher materiell gegen sie richte, was die Zuständigkeit am allgemeinen Wohnsitzgerichtsstand der Klägerin nach Art. 2 LugÜ begründe. Das Handelsgericht verneinte dabei vorweg, dass die ausschliessliche Zuständigkeit nach Art. 16 Ziffer 4 LugÜ auf das Klagebegehren 2 Anwendung finde.</w:t>
      </w:r>
    </w:p>
    <w:p>
      <w:r>
        <w:rPr>
          <w:b/>
        </w:rPr>
        <w:t>E. 2.1</w:t>
      </w:r>
    </w:p>
    <w:p>
      <w:r>
        <w:t>Nach Art. 2 LugÜ sind Personen, die ihren Wohnsitz im Hoheitsgebiet eines Vertragsstaats haben, ohne Rücksicht auf ihre Staatsangehörigkeit, vorbehaltlich der Vorschriften dieses Übereinkommens vor den Gerichten des Wohnsitzstaates zu verklagen. Der Wohnsitzgerichtsstand des Beklagten ist der zentrale Anknüpfungspunkt für die Anwendbarkeit des LugÜ überhaupt, während der Wohnsitz oder Sitz des Klägers dafür regelmässig unbeachtlich ist ( BGE 129 III 738 E. 3.2 S. 744 mit Verweis; Gerhard Walter, Internationales Zivilprozessrecht der Schweiz, 3. Aufl. 2002, S. 176; Jan Kropholler, Europäisches Zivilprozessrecht, Kommentar zu EuGVO, Lugano-Übereinkommen und Europäischem Vollstreckungstitel, 8. Aufl. 2005, N. 9 f. vor Art. 2 EuGVO). Es handelt sich um die Konkretisierung der allgemeinen Regel "actor sequitur forum rei" ( BGE 130 III 285 E. 4 S. 289). Unerheblich ist, ob der Ansprecher eine Leistungsklage oder der Anspruchsgegner eine negative Feststellungsklage erhebt, denn in beiden Fällen ist der Wohnsitz des Beklagten massgebend (Kropholler, a.a.O., N. 1 zu Art. 2 EuGVO). Der Klägergerichtsstand steht für negative Feststellungsklagen nicht zur Verfügung, woran der in BGE 130 III 285 publizierte Entscheid entgegen der Auffassung der Vorinstanz nichts ändert. In diesem Urteil hat das Bundesgericht für die ausschliesslich dem schweizerischen Recht bekannte Aberkennungsklage erkannt, dass es nicht darauf ankommen könne, ob der Gläubiger statt einer Forderungsklage den Weg der Betreibung wählt, und es daher Art. 2 Abs. 1 LugÜ nicht widerspreche, wenn ausnahmsweise auf die materielle Berechtigung statt der formellen Stellung im Prozess abgestellt werde ( BGE 130 III 285 E. 5.3 S. 291 ff.). Aus der Begründung dieses Entscheids ergibt sich eindeutig, dass es ganz besonderer Umstände bedarf, um von der zentralen Anknüpfung an den Wohnsitz bzw. Sitz des im Verfahren formell Beklagten abzuweichen. Materielle Verhältnisse, welche die örtliche Zuständigkeit sinnvoll oder zur Verhinderung einer "weiteren Prozessverzettelung" wünschbar erscheinen lassen, vermögen die Zuständigkeit am gesetzlich nicht vorgesehenen Klägergerichtsstand jedenfalls nicht zu begründen.</w:t>
      </w:r>
    </w:p>
    <w:p>
      <w:r>
        <w:rPr>
          <w:b/>
        </w:rPr>
        <w:t>E. 2.2</w:t>
      </w:r>
    </w:p>
    <w:p>
      <w:r>
        <w:t>Die Vorinstanz hat die Tragweite von Art. 2 Abs. 1 LugÜ verkannt, indem sie ihre örtliche Zuständigkeit zur Beurteilung der negativen Feststellungsklage in Ziffer 2 der Klagebegehren gestützt auf den Sitz der Klägerinnen in der Schweiz bejahte. Zur Beurteilung der begehrten Feststellung, dass die Klägerinnen 1 und 2 weder den deutschen noch den französischen Teil des europäischen Patents X. der Beklagten verletzen, sind die Gerichte in der Schweiz ohne Einverständnis der Beklagten nicht zuständig. Folgerichtig ist die Vorinstanz auch unzuständig zur im Begehren 3 beantragten Feststellung, dass der Beklagten aus der Verletzung des deutschen oder französischen Teils des Patents X. keine Forderungen zustehen. Bei dieser Sachlage kann offenbleiben, ob die Vorinstanz zutreffend von der Annahme ausgegangen ist, die zwingende Zuständigkeit gemäss Art. 16 Ziffer 4 LugÜ stehe ihrer Zuständigkeit zur Feststellung (nicht erfolgter) Verletzung ausländischer Patente auch dann nicht entgegen, wenn vorfrageweise die Feststellung der Patentnichtigkeit verlangt werde. Diese Auffassung hat die Vorinstanz im angefochtenen Beschluss vertreten, bevor der EuGH in der Rechtssache C-4/03 am 13. Juli 2006 entschieden hat, dass die ausschliessliche Zuständigkeitsregel von Art. 16 Ziffer 4 EuGVÜ/LugÜ alle Arten von Rechtsstreitigkeiten über die Eintragung oder die Gültigkeit eines Patents unabhängig davon betrifft, ob die Frage klageweise oder einredeweise aufgeworfen wird.</w:t>
      </w:r>
    </w:p>
    <w:p>
      <w:r>
        <w:rPr>
          <w:b/>
        </w:rPr>
        <w:t>E. 3</w:t>
      </w:r>
    </w:p>
    <w:p>
      <w:r>
        <w:t>Soweit die Klägerinnen in der Berufungsantwort die Ansicht vertreten, die Zuständigkeit schweizerischer Gerichte könnte am deliktischen Handlungsort begründet sein, verkennen sie die Tragweite von Art. 5 Ziffer 3 LugÜ. Nach dieser Bestimmung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Diese Zuständigkeit beruht auf der Erwägung, dass hier eine besondere Nähe zum Streitgegenstand besteht und das Gericht am Ort, an dem das schädigende Ereignis eingetreten ist, am besten in der Lage ist, die erforderlichen Beweise zu erheben und den Streit zu entscheiden (Jan Kropholler, Europäisches Zivilprozessrecht, Kommentar zu EuGVO, Lugano-Übereinkommen und Europäischem Vollstreckungstitel, 8. Aufl. 2005, N. 73 zu Art. 5 EuGVO; Hélène Gaudemet-Tallon, Compétences et exécution des jugements en Europe, 3. Aufl. 2002, S. 125 Rz. 171). Als eingetreten wird das schädigende Ereignis nach der hier massgebenden Praxis des EuGH sowohl am Ort der Vornahme der deliktischen Handlung wie am Ort des Erfolgs anerkannt ( BGE 125 III 346 E. 4a S. 348; Gaudemet-Tallon, a.a.O., S. 172 Rz. 215). Für die Verletzung ausländischer Patente käme höchstens der Handlungsort als Deliktsort in Betracht. Da eine Patentverletzung eine Benutzungshandlung auf dem Gebiet des Staates, für den das Patent erteilt wurde, voraussetzt, kann nämlich der Erfolgsort als Ort, an dem die Rechtsgutverletzung eintritt, immer nur in diesem Staat liegen. Gegen die Zuständigkeit der Gerichte am Handlungsort bei der Verletzung ausländischer Patente im Inland spricht jedoch die Erwägung, dass die Patentverletzung weder im Gerichtsstaat erfolgt ist noch dessen materielles Recht zur Anwendung kommt, womit es an der für Art. 5 Ziffer 3 LugÜ erforderlichen besonderen Nähe zum Streitgegenstand fehlt (Klaus Grabinski, Zur Bedeutung des Europäischen Gerichtsstands- und Vollstreckungsübereinkommens [Brüsseler Übereinkommens] und des Lugano-Übereinkommens in Rechtsstreitigkeiten über Patentverletzungen, in: GRUR Int. 2001 S. 201/204 f.; vgl. auch Pierre Véron, Trente ans d'application de la Convention de Bruxelles à l'action en contrefaçon de brevet d'invention, in: Journal du Droit International [Clunet] 2001 S. 805/826 f.).</w:t>
      </w:r>
    </w:p>
    <w:p>
      <w:r>
        <w:rPr>
          <w:b/>
        </w:rPr>
        <w:t>E. 4</w:t>
      </w:r>
    </w:p>
    <w:p>
      <w:r>
        <w:t>Die Berufung ist gutzuheissen und der angefochtene Beschluss ist gemäss dem Antrag der Beklagten abzuändern. Die Gerichtsgebühr ist bei diesem Verfahrensausgang den Klägerinnen 1 und 2 zu auferlegen, welche mit ihren Begehren unterlegen sind. Sie haben der anwaltlich vertretenen Beklagten deren Parteikosten zu ersetzen. Gerichtsgebühr und Parteientschädigung bemessen sich nach dem Streitwert, den die Vorinstanz mit mehr als 1 Million SFr. bemisst.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