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4C.208/2006 vom 23. Oktober 2006</w:t>
      </w:r>
    </w:p>
    <w:p>
      <w:r>
        <w:t>Bundesgericht, 2006-10-23, DE</w:t>
      </w:r>
    </w:p>
    <w:p>
      <w:r>
        <w:rPr>
          <w:b/>
        </w:rPr>
        <w:t xml:space="preserve">Quelle: </w:t>
      </w:r>
      <w:r>
        <w:t>https://mcp.opencaselaw.ch/entscheid/bger_4C.208_2006</w:t>
      </w:r>
    </w:p>
    <w:p>
      <w:r>
        <w:t>FR: TF 4C.208/2006 du 23 octobre 2006</w:t>
      </w:r>
    </w:p>
    <w:p>
      <w:r>
        <w:t>IT: TF 4C.208/2006 del 23 ottobre 2006</w:t>
      </w:r>
    </w:p>
    <w:p>
      <w:pPr>
        <w:pStyle w:val="Heading2"/>
      </w:pPr>
      <w:r>
        <w:t>Erwägungen</w:t>
      </w:r>
    </w:p>
    <w:p>
      <w:r>
        <w:rPr>
          <w:b/>
        </w:rPr>
        <w:t>E. 1</w:t>
      </w:r>
    </w:p>
    <w:p>
      <w:r>
        <w:t>Die Berufung ist gemäss Art. 48 OG in der Regel erst gegen die Endentscheide der oberen kantonalen Gerichte zulässig.</w:t>
      </w:r>
    </w:p>
    <w:p>
      <w:r>
        <w:rPr>
          <w:b/>
        </w:rPr>
        <w:t>E. 1.1</w:t>
      </w:r>
    </w:p>
    <w:p>
      <w:r>
        <w:t>Ein Endentscheid im Sinn dieser Bestimmung liegt nach der Rechtsprechung nur vor, wenn das kantonale Gericht über den im Streit stehenden Anspruch materiell entschieden oder dessen Beurteilung aus einem Grund abgelehnt hat, der endgültig verbietet, dass derselbe Anspruch nochmals geltend gemacht wird, weshalb er insoweit materiell rechtskräftig wird ( BGE 127 III 474 E. 1a S. 476 mit zahlreichen Verweisen). Im vorliegenden Fall ist das Handelsgericht auf die Klage der Klägerin 6 mit der Begründung nicht eingetreten, es fehle das Rechtsschutz- bzw. Feststellungsinteresse (Rechtsbegehren 1 und Rechtsbegehren 3 mit Bezug auf den schweizerischen Teil des europäischen Patents) bzw. die örtliche Zuständigkeit sei nicht gegeben (Rechtsbegehren 2 und Rechtsbegehren 3 betreffend ausländische Patente). Das Gericht hat damit die Beurteilung der Klagebegehren aus Gründen verweigert, die der Klägerin endgültig verbieten, denselben Anspruch vor schweizerischen Gerichten nochmals geltend zu machen (vgl. dazu Jean-François Poudret, Commentaire de la loi fédérale d'organisation judiciaire du 16 décembre 1943, N. 1.1.4.2 zu Art. 48 OG ; Georg Messmer/Hermann Imboden, Die eidgenössischen Rechtsmittel in Zivilsachen, Nr. 66). Damit sind die Voraussetzungen von Art. 48 OG gegeben.</w:t>
      </w:r>
    </w:p>
    <w:p>
      <w:r>
        <w:rPr>
          <w:b/>
        </w:rPr>
        <w:t>E. 1.2</w:t>
      </w:r>
    </w:p>
    <w:p>
      <w:r>
        <w:t>Das Handelsgericht ist auf die Rechtsbegehren der Klägerin 6 vollumfänglich nicht eingetreten, hat seine Zuständigkeit zur Beurteilung der Begehren der Klägerinnen 1, 2 und 5 jedoch mindestens teilweise bejaht. Insofern bleibt das Verfahren hängig. Beim angefochtenen Entscheid handelt es sich daher um einen Teilentscheid, denn es ist nur über einen Teil der subjektiv (und objektiv) gehäuften Klagen durch das Nichteintreten entschieden worden. Teilentscheide sind nach der Praxis mit Berufung selbständig anfechtbar, wenn die davon erfassten Begehren zum Gegenstand eines gesonderten Prozesses hätten gemacht werden können und deren Beurteilung für den Entscheid über die übrigen Begehren präjudiziell ist ( BGE 124 III 406 E. 1a S. 409 mit Hinweisen) oder wenn der Umfang des Beweisverfahrens in erheblichem Mass davon abhängt, ob das Verfahren gegen alle oder nur einen Teil der Beklagten durchgeführt wird ( BGE 129 III 25 E. 1.1 S. 27).</w:t>
      </w:r>
    </w:p>
    <w:p>
      <w:r>
        <w:rPr>
          <w:b/>
        </w:rPr>
        <w:t>E. 1.3</w:t>
      </w:r>
    </w:p>
    <w:p>
      <w:r>
        <w:t>Die Klägerin 6 hätte die Rechtsbegehren 1 bis 3 zum Gegenstand eines gesonderten Prozesses machen können, und der Grund der Prozessökonomie, welcher eine gesonderte Anrufung des Bundesgerichts gegen Teilurteile rechtfertigt, kann vorliegend ohne weiteres als gegeben angesehen werden. Denn es ist zu beachten, dass auf die Begehren der Klägerin 6 im Rahmen eines selbständigen Vorentscheides über die Zuständigkeit der Vorinstanz zur Beurteilung der objektiv und subjektiv gehäuften Klagen nicht eingetreten wurde und grundsätzlich aus Gründen der Prozessökonomie ein Interesse an der vorgängigen Beurteilung der Prozessvoraussetzungen besteht, dem insbesondere in Art. 49 OG Rechnung getragen wird.</w:t>
      </w:r>
    </w:p>
    <w:p>
      <w:r>
        <w:rPr>
          <w:b/>
        </w:rPr>
        <w:t>E. 2</w:t>
      </w:r>
    </w:p>
    <w:p>
      <w:r>
        <w:t>In Rechtsbegehren 2 beantragt die Klägerin die Feststellung der Nichtverletzung ausländischer Streitpatente und in Rechtsbegehren 3 dementsprechend die Feststellung, dass der Beklagten daraus keine Forderungen zustehen.</w:t>
      </w:r>
    </w:p>
    <w:p>
      <w:r>
        <w:rPr>
          <w:b/>
        </w:rPr>
        <w:t>E. 2.1</w:t>
      </w:r>
    </w:p>
    <w:p>
      <w:r>
        <w:t>Die Klägerin 6 hat im kantonalen Verfahren die Zuständigkeit der Vorinstanz zur Beurteilung des Klagebegehrens 2 unter anderem auf Art. 6 Ziffer 1 LugÜ gestützt und hält in der Berufung daran fest. Nach dieser Bestimmung kann eine Person, die ihren Wohnsitz in dem Hoheitsgebiet eines Vertragsstaats hat, auch vor dem Gericht verklagt werden, in dessen Bezirk einer der Beklagten seinen Wohnsitz hat, wenn mehrere Personen zusammen verklagt werden. Die Klägerin 6 möchte diese Bestimmung für negative Feststellungsklagen entsprechend auf die aktive Streitgenossenschaft anwenden. Nachdem die Berufung der Beklagten gegen die Klägerinnen 1 und 2 gutgeheissen und auf deren Klagebegehren 2 sowie den entsprechenden Teil der Klagebegehren 3 nicht eingetreten worden ist, sind neben der Klägerin 6 keine Parteien mehr vorhanden, auf deren entsprechendes Klagebegehren 2 eingetreten werden könnte und die somit im Sinne der Auslegung der Klägerin 6 zusammen "verklagt" werden könnten. Der Zuständigkeit nach Art. 6 Ziffer 1 LugÜ fehlt damit die Grundlage. Die Vorinstanz hat ihre Zuständigkeit nach dieser Bestimmung zu Recht verneint.</w:t>
      </w:r>
    </w:p>
    <w:p>
      <w:r>
        <w:rPr>
          <w:b/>
        </w:rPr>
        <w:t>E. 2.2</w:t>
      </w:r>
    </w:p>
    <w:p>
      <w:r>
        <w:t>Die Klägerin 6 hält in ihrer Berufung sodann daran fest, dass der Gerichtsstand am Ort der deliktischen Handlung gemäss Art. 5 Ziffer 3 LugÜ die Zuständigkeit der Vorinstanz zur Beurteilung der (Nicht-)Verletzung ausländischer Patente der Beklagten begründe. Nach Art. 5 Ziffer 3 LugÜ kann eine Person mit Wohnsitz in einem Vertragsstaat in einem anderen Vertragsstaat vor dem Gericht des Ortes verklagt werden, an dem das schädigende Ereignis eingetreten ist, wenn eine unerlaubte bzw. dieser gleichgestellte Handlung oder Ansprüche aus einer solchen Handlung den Gegenstand des Verfahrens bilden. Diese Zuständigkeit beruht auf der Erwägung, dass hier eine besondere Nähe zum Streitgegenstand besteht und das Gericht am Ort, an dem das schädigende Ereignis eingetreten ist, am besten in der Lage ist, die erforderlichen Beweise zu erheben und den Streit zu entscheiden (Jan Kropholler, Europäisches Zivilprozessrecht, Kommentar zu EuGVO, Lugano-Übereinkommen und Europäischem Vollstreckungstitel, 8. Aufl. 2005, N. 73 zu Art. 5 EuGVO; Hélène Gaudemet-Tallon, Compétences et exécution des jugements en Europe, 3. Aufl. 2002, S. 125 Rz. 171). Als eingetreten wird das schädigende Ereignis nach der hier massgebenden Praxis des EuGH sowohl am Ort der Vornahme der deliktischen Handlung wie am Ort des Erfolgs anerkannt ( BGE 125 III 346 E. 4a S. 348; Gaudemet-Tallon, a.a.O., S. 172, Rz. 215). Für die Verletzung ausländischer Patente käme höchstens der Handlungsort als Deliktsort in Betracht. Da eine Patentverletzung eine Benutzungshandlung auf dem Gebiet des Staates, für den das Patent erteilt wurde, voraussetzt, kann nämlich der Erfolgsort als Ort, an dem die Rechtsgutverletzung eintritt, immer nur in diesem Staat liegen. Gegen die Zuständigkeit der Gerichte am Handlungsort bei der Verletzung ausländischer Patente im Inland spricht jedoch die Erwägung, dass die Patentverletzung weder im Gerichtsstaat erfolgt ist noch dessen materielles Recht zur Anwendung kommt, womit es an der für Art. 5 Ziffer 3 LugÜ erforderlichen besonderen Nähe zum Streitgegenstand fehlt (Klaus Grabinski, Zur Bedeutung des Europäischen Gerichtsstands- und Vollstreckungsübereinkommens (Brüsseler Übereinkommens) und des Lugano-Übereinkommens in Rechtsstreitigkeiten über Patentverletzungen, in GRUR Int. 2001 S. 201/204 f.; vgl. auch Pierre Véron, Trente ans d'application de la Convention de Bruxelles à l'action en contrefaçon de brevet d'invention, in Journal du Droit International (Clunet) 2001, S. 805/826 f.) Die Vorinstanz hat zutreffend eine Zuständigkeit gestützt auf Art. 5 Ziffer 3 LugÜ für die Feststellung der (Nicht-)Verletzung ausländischer Patente abgelehnt.</w:t>
      </w:r>
    </w:p>
    <w:p>
      <w:r>
        <w:rPr>
          <w:b/>
        </w:rPr>
        <w:t>E. 2.3</w:t>
      </w:r>
    </w:p>
    <w:p>
      <w:r>
        <w:t>Die Berufung ist unbegründet, soweit sie sich gegen den Entscheid der Vorinstanz richtet, es werde auf das Rechtsbegehren 2 sowie das Rechtsbegehren 3 betreffend ausländische Patente der Klägerin 6 nicht eingetreten.</w:t>
      </w:r>
    </w:p>
    <w:p>
      <w:r>
        <w:rPr>
          <w:b/>
        </w:rPr>
        <w:t>E. 3</w:t>
      </w:r>
    </w:p>
    <w:p>
      <w:r>
        <w:t>Das Handelsgericht ist im angefochtenen Entscheid auf die Begehren 1 und 3 der Klägerin 6 in der Erwägung nicht eingetreten, der Klägerin fehle das Rechtsschutzinteresse.</w:t>
      </w:r>
    </w:p>
    <w:p>
      <w:r>
        <w:rPr>
          <w:b/>
        </w:rPr>
        <w:t>E. 3.1</w:t>
      </w:r>
    </w:p>
    <w:p>
      <w:r>
        <w:t>Unter welchen Voraussetzungen die gerichtliche Feststellung des Bestehens oder Nichtbestehens bundesrechtlicher Ansprüche verlangt werden kann, ist nach der Rechtsprechung des Bundesgerichts eine Frage des Bundesrechts. Die Feststellungsklage ist danach insbesondere zuzulassen, wenn die Rechtsbeziehungen der Parteien ungewiss sind, die Ungewissheit durch die Feststellung über Bestand und Inhalt des Rechtsverhältnisses beseitigt werden kann und ihre Fortdauer der Klagepartei nicht zugemutet werden kann, weil sie sie in ihrer Bewegungsfreiheit behindert ( BGE 131 III 319 E. 3.5 S. 324 f.; 123 III 414 E. 7b S. 429, je mit Verweisen). Inwiefern die Klägerin aus BGE 129 III 295 E. 2.3 S. 299 f. ableiten will, diese Rechtsprechung sei im Anwendungsbereich des LugÜ überholt, ist nicht nachvollziehbar. Die Vorinstanz hat für die Feststellung, es sei der schweizerische Teil des europäischen Patents der Beklagten nicht verletzt (Begehren 1) und der Beklagten ständen folglich keine Forderungen gegen die Klägerin 6 aus diesem Rechtsgrund zu (Begehren 3), zutreffend ein Feststellungsinteresse im Sinne der Praxis des Bundesgerichts verlangt.</w:t>
      </w:r>
    </w:p>
    <w:p>
      <w:r>
        <w:rPr>
          <w:b/>
        </w:rPr>
        <w:t>E. 3.2</w:t>
      </w:r>
    </w:p>
    <w:p>
      <w:r>
        <w:t>Nach den Feststellungen der Vorinstanz tritt die Klägerin 6 in der Schweiz nicht am Markt auf und macht auch nicht geltend, dies zu beabsichtigen. Sie wird ausserdem von der Beklagten keiner Patentverletzung in der Schweiz bezichtigt. Von diesen Sachverhaltsfeststellungen ist auszugehen. Denn soweit die Klägerin 6 diese Feststellung unter Berufung auf Art. 8 ZGB beanstandet, ist ihren Vorbringen nicht zu entnehmen, dass sie im kantonalen Verfahren einschlägige Beweisanträge gestellt hätte. Die Vorinstanz ist entgegen der Ansicht der Klägerin von einem zutreffenden Begriff des Feststellungsinteresses ausgegangen, als sie verlangte, dass die Klägerin ein eigenes, mindestens tatsächliches Interesse an der begehrten Feststellung nachweisen müsse. Dass sie mit den übrigen Klägerinnen konzernmässig verbunden ist, genügt dafür jedenfalls nicht. Dass ein Verfahren in Deutschland gegen die Klägerin 6 wegen angeblicher Mitverantwortung für Handlungen ihrer Tochtergesellschaften bereits hängig ist, spricht gegen das Feststellungsinteresse der Klägerin 6. Dass Zürich das Zentrum des weltweiten Vertriebs des angeblich patentverletzenden Produkts M. bildet, begründet jedenfalls entgegen der Auffassung der Klägerin 6 nicht ohne weiteres ein Rechtsschutzinteresse der Muttergesellschaft des Konzerns. Schliesslich kann der Klägerin 6 auch darin nicht gefolgt werden, dass angebliche Anschwärzungen durch Dritte ohne weiteres ihr Interesse an den beantragten Feststellungen begründen sollten.</w:t>
      </w:r>
    </w:p>
    <w:p>
      <w:r>
        <w:rPr>
          <w:b/>
        </w:rPr>
        <w:t>E. 4</w:t>
      </w:r>
    </w:p>
    <w:p>
      <w:r>
        <w:t>Die Berufung der Klägerin 6 gegen den Nichteintretensentscheid des Handelsgerichts Zürich ist abzuweisen. Diesem Verfahrensausgang entsprechend sind die Kosten der Klägerin zu auferlegen.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