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4C.205/2002 vom 9. Dezember 2002</w:t>
      </w:r>
    </w:p>
    <w:p>
      <w:r>
        <w:t>Bundesgericht, 2002-12-09, FR</w:t>
      </w:r>
    </w:p>
    <w:p>
      <w:r>
        <w:rPr>
          <w:b/>
        </w:rPr>
        <w:t xml:space="preserve">Quelle: </w:t>
      </w:r>
      <w:r>
        <w:t>https://mcp.opencaselaw.ch/entscheid/bger_4C.205_2002</w:t>
      </w:r>
    </w:p>
    <w:p>
      <w:r>
        <w:t>FR: TF 4C.205/2002 du 9 décembre 2002</w:t>
      </w:r>
    </w:p>
    <w:p>
      <w:r>
        <w:t>IT: TF 4C.205/2002 del 9 dicembre 2002</w:t>
      </w:r>
    </w:p>
    <w:p>
      <w:pPr>
        <w:pStyle w:val="Heading2"/>
      </w:pPr>
      <w:r>
        <w:t>Regeste</w:t>
      </w:r>
    </w:p>
    <w:p>
      <w:r>
        <w:t>Droit des contrats</w:t>
      </w:r>
    </w:p>
    <w:p>
      <w:pPr>
        <w:pStyle w:val="Heading2"/>
      </w:pPr>
      <w:r>
        <w:t>Erwägungen</w:t>
      </w:r>
    </w:p>
    <w:p>
      <w:r>
        <w:rPr>
          <w:b/>
        </w:rPr>
        <w:t>E. 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 pertinents, régulièrement allégués et clairement établis ( art. 64 OJ ).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ATF 127 III 248 consid. 2c et les références). Selon l' art. 55 al. 1 let . c OJ, le recours doit contenir les motifs à l'appui des conclusions, c'est-à-dire indiquer succinctement quelles sont les règles de droit fédéral violées par la décision attaquée et en quoi consiste cette violation. Il faut que le recourant examine la décision attaquée et montre quel principe a été violé et pourquoi; des critiques générales sans rapport avec un considérant dûment cité ne suffisent pas ( ATF 121 III 397 consid. 2a; 116 II 745 consid. 3). La sanction du non-respect de ces exigences est l'irrecevabilité, partielle ou totale du recours. Ce n'est que dès l'instant où une conclusion est motivée de façon satisfaisante au regard de l' art. 55 al. 1 let . c OJ que la règle selon laquelle le Tribunal fédéral applique d'office le droit intervient ( art. 63 al. 3 OJ ).</w:t>
      </w:r>
    </w:p>
    <w:p>
      <w:r>
        <w:rPr>
          <w:b/>
        </w:rPr>
        <w:t>E. 2</w:t>
      </w:r>
    </w:p>
    <w:p>
      <w:r>
        <w:t>Les demandeurs déclarent limiter leurs critiques à la qualification juridique donnée en instance cantonale aux "faits et conséquences" liés à la ligne de crédit ouverte par la défenderesse en février 1992 et garantie par leurs titres.</w:t>
      </w:r>
    </w:p>
    <w:p>
      <w:r>
        <w:rPr>
          <w:b/>
        </w:rPr>
        <w:t>E. 2.1</w:t>
      </w:r>
    </w:p>
    <w:p>
      <w:r>
        <w:t>Dans un premier moyen, les demandeurs reprochent à la cour cantonale d'avoir retenu que la défenderesse n'avait pas violé ses obligations contractuelles nées des contrats de dépôt et de compte courant passés entre eux. Ils exposent que ces contrats n'autorisaient pas la banque à ouvrir sans leur accord exprès la ligne de crédit qui leur a été octroyée selon la lettre du 14 février 1992 et par la suite continuellement augmentée. Ni le gérant ni les clients n'auraient été informés de cette opération, ni n'y auraient consenti. Agissant sans base contractuelle ( art. 1 ss CO ) et contrairement aux règles de la bonne foi exigées par l' art. 2 CC , la défenderesse aurait dès lors financé des opérations réprimées pénalement effectuées par le gérant, actes qui étaient propres à entraîner le dommage subi par les demandeurs; la banque aurait, par là, également violé ses obligations contractuelles précisées par les art. 396 al. 3, 474 et 481 al. 3 CO.</w:t>
      </w:r>
    </w:p>
    <w:p>
      <w:r>
        <w:rPr>
          <w:b/>
        </w:rPr>
        <w:t>E. 2.2</w:t>
      </w:r>
    </w:p>
    <w:p>
      <w:r>
        <w:t>Il n'est pas contesté que les demandeurs ont confié la gestion de leurs biens à F.________, gérant indépendant qui n'était ni organe ni auxiliaire de la défenderesse, mais qui agissait à l'égard de la banque en tant que représentante directe de ses clients. Le contrat liant les demandeurs à F.________ doit être qualifié de mandat, au sens de la jurisprudence du Tribunal fédéral (arrêt 4C.387/2000 du 15.03.01 in SJ 2001 I 525 consid. 2b). A l'égard de la banque A.________, les époux X.________ étaient liés par un contrat de compte courant et un contrat de dépôt ouvert, auxquels sont applicables les règles du mandat, ainsi que par des contrats de commission conclus pour l'exécution des ordres passés à la banque par le gérant pour leur compte (ATF précité, consid. 2a). Selon la jurisprudence, la banque qui, sans être au bénéfice d'un mandat de gestion, s'engage uniquement à exécuter des ordres en bourse confiés sporadiquement, n'est pas tenue à une sauvegarde générale des intérêts du mandant. Un devoir général d'information n'existe pas en pareille hypothèse. En principe, la banque ne doit renseigner le client que s'il le demande; s'il apparaît qu'il n'a aucune idée des risques qu'il court, la banque doit toutefois l'y rendre attentif. Le devoir de fidélité n'impose pas non plus à la banque chargée d'exécuter des ordres déterminés de conseiller spontanément le client sur les développements probables des investissements choisis et sur les mesures à prendre pour limiter les risques ( ATF 119 II 333 consid. 5 et 7 et les références; sur le devoir d'information des banques, voir aussi l'arrêt 4C. 45/2001 du 31 août 2001, publié in SJ 2002 I 274 ss, consid. 4a et l'arrêt 4C.410/1997 du 23 juin 1998, publié in SJ 1999 I 205 ss, consid. 3b). 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4C.97/1997 du 29 octobre 1997, publié in SJ 1998 p. 198 ss, consid. 6a). En d'autres termes, le banquier n'est pas le tuteur de son client et il doit en principe exécuter les ordres licites qui lui sont régulièrement donnés (arrêt 4C.24/1993 du 14 décembre 1993, publié in SJ 1994 p. 284 ss, consid. 3b).</w:t>
      </w:r>
    </w:p>
    <w:p>
      <w:r>
        <w:rPr>
          <w:b/>
        </w:rPr>
        <w:t>E. 2.3</w:t>
      </w:r>
    </w:p>
    <w:p>
      <w:r>
        <w:t>Les premiers juges, suivis en cela par la cour cantonale, n'ont pas tranché la question de savoir si les crédits consentis par la défenderesse devaient être considérés comme de simples avances destinées à financer des découverts passagers, opérations qui ne nécessitent pas de recueillir spécialement l'accord du client, ou comme de véritables crédits lombards, qui, le rappellent les juges cantonaux, requièrent une information spécifique du client en raison des risques courus par celui-ci. Les deux instances cantonales ont retenu qu'en tout état de cause, les demandeurs avaient été régulièrement avisés de l'octroi d'une ligne de crédit, ainsi que de l'existence des pertes importantes générées par les opérations entreprises par le gérant. Il n'est certes pas établi qu'ils aient régulièrement et effectivement pris connaissance de l'ensemble des informations concernant leurs comptes. Ils avaient en effet conclu une convention dite de banque restante. Or, selon la jurisprudence, en matière bancaire, lorsqu'une banque accepte de conserver par devers elle les lettres qu'elle adresse à ses clients, ces communications sont opposables à ces derniers comme s'ils les avaient effectivement reçues. De même, on doit admettre que le client qui adopte ce mode de communication est censé avoir pris connaissance immédiatement des avis qui lui sont adressés de cette façon. Dans certaines circonstances, l'application stricte de la fiction de la réception du courrier peut avoir toutefois des conséquences choquantes. C'est pourquoi une situation manifestement contraire à l'équité pourra être sanctionnée au titre de l'abus de droit. Tel sera par exemple le cas si la banque ou l'un de ses auxiliaires profite de la fiction de la remise du courrier pour agir sciemment au détriment du client (arrêts 4C.81/2002 du 01.07.02 consid. 4.3; 4C.72/1999 du 26.05.99 consid. 3b; C. 357/84 in SJ 1985 I 246 consid. 2b; ATF 104 II 190 consid. 2a i.f.). Les demandeurs contestent que la convention de banque restante ait suffi en l'espèce au respect du devoir d'informer mis à la charge de la banque, car, comme l'indiquent les termes de la lettre du 14 février 1992, la défenderesse ne faisait qu'y proposer l'ouverture d'un crédit et demandait le retour de ladite lettre munie de la signature des clients. Ceux-ci n'ayant pas signé cette proposition, un accord sur la ligne de crédit, conformément à l' art. 1er CO , ne serait pas venu à chef. Il a été jugé que le silence ne doit, dans la règle, pas être compris comme un accord. Cependant, conformément au principe de la confiance, le silence vaut acceptation lorsque la bonne foi ou la raison pratique exige que le désaccord soit manifesté dans le cas où le consentement apparent n'existe en réalité pas (arrêt 4C.303/2001 du 04.03.02 in SJ 2002 I 363 consid. 2b). Comme la cour cantonale l'a retenu de manière convaincante, les avances sur titres étaient des opérations dont les demandeurs connaissaient la nature; ils les avaient pratiquées avec la banque B.________. De plus, ils savaient que le transfert de leur dossier titres et de leur compte, débiteur, auprès de la banque B.________ ne pouvait avoir lieu que moyennant paiement à ladite banque du montant qui lui était dû. Un tel paiement, faute par eux d'en avancer le montant, ne pouvait donc intervenir que par le biais d'une avance de la défenderesse, en faveur de laquelle ils avaient du reste signé un acte de nantissement sur tous les titres. Il n'existe enfin aucun indice permettant de soupçonner que la défenderesse ait profité de mauvaise foi vis-à-vis des demandeurs du fait qu'ils n'avaient pas une connaissance immédiate des courriers qu'ils recevaient. Les copies de ces courriers étaient d'ailleurs adressées à F.________ dont la défenderesse pouvait raisonnablement attendre qu'elle tienne informés ses clients. Il s'ensuit le rejet, autant qu'il est recevable, de ce moyen.</w:t>
      </w:r>
    </w:p>
    <w:p>
      <w:r>
        <w:rPr>
          <w:b/>
        </w:rPr>
        <w:t>E. 3</w:t>
      </w:r>
    </w:p>
    <w:p>
      <w:r>
        <w:t>Dans un deuxième moyen, les demandeurs soutiennent que même dans l'hypothèse où un contrat portant sur l'ouverture d'un crédit lombard aurait été conclu, la banque n'aurait pas respecté son devoir de suivre l'évolution de ce crédit, de s'assurer que marge et couverture étaient suffisantes. Elle aurait par là violé ses devoirs contractuels nés des art. 474 et 481 al. 3 CO . Pour soutenir leur thèse relative au défaut de vigilance de la banque, les demandeurs s'appuient sur l'expertise privée G.________, à laquelle ils renvoient et dont il ressortirait que les comptes des clients ont connu des débits constants, sans interruption, en 1991 et 1992, pour culminer à 251'809 fr. à la fin de la relation bancaire. Compte tenu de ces éléments, il ne pourrait pas être question de ne parler que de découverts sporadiques et passagers, compensés par des avances momentanées et n'exigeant pas l'accord exprès du client. En octroyant une telle ligne de crédit, la défenderesse aurait disposé des fonds des demandeurs contrairement aux obligations contractuelles découlant du contrat de dépôt. Le recours est irrecevable sur ce point, car la tentative de démontrer la violation du contrat par la défenderesse s'appuie sur des faits - constance et quotité des débits du compte des demandeurs - qui ne ressortent pas des éléments retenus par la cour cantonale et pas davantage de ceux admis par le premier juge. La cour cantonale ne se fonde nullement sur l'expertise privée G.________ dont elle ne fait que rappeler les conclusions, qu'au demeurant elle ne dit pas partager. Le recours est également irrecevable dans la mesure où les demandeurs persistent à affirmer, contrairement à ce qui a été retenu par la cour cantonale, qu'ils n'ont pas consenti à l'instauration d'une ligne de crédit. Sont pareillement irrecevables les affirmations des demandeurs selon lesquelles, d'une part, même si l'on devait retenir qu'ils avaient consenti au débit initial de 50'000 fr., ils n'avaient pas ratifié l'ouverture d'un crédit en compte courant à 50% des avoirs globaux, et d'autre part, que si "par impossible", il fallait retenir qu'un crédit lombard avait été conclu par ratification tacite, ni la limite de ce crédit, ni les marges, ni la couverture n'auraient été respectées. Pour étayer leur démonstration, les demandeurs font à nouveau appel à des éléments de fait - débit des comptes à la fin 1992, soit 222'409 fr., valeur à la même date des actions et obligations déposées, soit 250'730 fr., rapport déséquilibré entre ces deux montants - qui ne ressortent pas de l'état de fait retenu par la cour cantonale et dont le Tribunal fédéral, dès lors, ne peut pas connaître ( art. 55 al. 1 let . c et 63 al. 2 OJ).</w:t>
      </w:r>
    </w:p>
    <w:p>
      <w:r>
        <w:rPr>
          <w:b/>
        </w:rPr>
        <w:t>E. 4</w:t>
      </w:r>
    </w:p>
    <w:p>
      <w:r>
        <w:t>Etant donné l'absence de violation par la défenderesse de ses devoirs contractuels, il est superflu d'examiner l'argumentation des demandeurs concernant l'existence d'un lien de causalité.</w:t>
      </w:r>
    </w:p>
    <w:p>
      <w:r>
        <w:rPr>
          <w:b/>
        </w:rPr>
        <w:t>E. 5</w:t>
      </w:r>
    </w:p>
    <w:p>
      <w:r>
        <w:t>Les frais de la procédure seront mis à la charge des recourants qui succombent. Ils devront en outre verser à l'intimée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