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4C.204/2002 vom 9. Oktober 2003</w:t>
      </w:r>
    </w:p>
    <w:p>
      <w:r>
        <w:t>Bundesgericht, 2003-10-09, FR</w:t>
      </w:r>
    </w:p>
    <w:p>
      <w:r>
        <w:rPr>
          <w:b/>
        </w:rPr>
        <w:t xml:space="preserve">Quelle: </w:t>
      </w:r>
      <w:r>
        <w:t>https://mcp.opencaselaw.ch/entscheid/bger_4C.204_2002</w:t>
      </w:r>
    </w:p>
    <w:p>
      <w:r>
        <w:t>FR: TF 4C.204/2002 du 9 octobre 2003</w:t>
      </w:r>
    </w:p>
    <w:p>
      <w:r>
        <w:t>IT: TF 4C.204/2002 del 9 ottobre 2003</w:t>
      </w:r>
    </w:p>
    <w:p>
      <w:pPr>
        <w:pStyle w:val="Heading2"/>
      </w:pPr>
      <w:r>
        <w:t>Regeste</w:t>
      </w:r>
    </w:p>
    <w:p>
      <w:r>
        <w:t>Droit des contrats</w:t>
      </w:r>
    </w:p>
    <w:p>
      <w:pPr>
        <w:pStyle w:val="Heading2"/>
      </w:pPr>
      <w:r>
        <w:t>Erwägungen</w:t>
      </w:r>
    </w:p>
    <w:p>
      <w:r>
        <w:rPr>
          <w:b/>
        </w:rPr>
        <w:t>E. 1.1</w:t>
      </w:r>
    </w:p>
    <w:p>
      <w:r>
        <w:t>Interjeté par la partie demanderesse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Les pièces nouvelles produites sans que les parties y aient été autorisées - comme le courrier de B.________ du 15 août 2003 - sont irrecevables.</w:t>
      </w:r>
    </w:p>
    <w:p>
      <w:r>
        <w:rPr>
          <w:b/>
        </w:rPr>
        <w:t>E. 1.2</w:t>
      </w:r>
    </w:p>
    <w:p>
      <w:r>
        <w:t>Le recours en réforme est ouvert pour violation du droit fédéral ( art. 43 al. 1 OJ ), mais non pour violation directe d'un droit de rang constitutionnel ( art. 43 al. 1 2 e phrase OJ) ou pour violation du droit cantonal (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Le recours n'est pas ouvert pour se plaindre de l'appréciation des preuves et des constatations de fait qui en découlent ( ATF 127 III 543 consid. 2c; 126 III 189 consid. 2a; 125 III 78 consid. 3a). Il ne peut être présenté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128 III 22 consid. 2e/cc in fine; 127 III 248 consid. 2c).</w:t>
      </w:r>
    </w:p>
    <w:p>
      <w:r>
        <w:rPr>
          <w:b/>
        </w:rPr>
        <w:t>E. 2</w:t>
      </w:r>
    </w:p>
    <w:p>
      <w:r>
        <w:t>La recourante critique la décision d'irrecevabilité de ses conclusions re-reconventionnelles. D'après elle, une telle décision violerait l' art. 8 LDIP . Dans le recours de droit public rejeté par arrêt de ce jour, le Tribunal fédéral a admis que cette irrecevabilité découlait d'une interprétation non arbitraire du droit de procédure cantonal. Or, la question ne se présente pas différemment sous l'angle d'un recours en réforme. En effet, si l' art. 8 LDIP règle, en matière internationale, les conditions de fond de la demande reconventionnelle, les autres conditions posées par les codes de procédure cantonaux à l'admission de l'action reconventionnelle restent applicables (cf. Berti, Commentaire bâlois, n. 6 ad art. 8 LDIP ). Cette application des règles de procédure cantonale se justifie par le fait qu'il n'y a pas de raison de traiter le défendeur, dans un procès international, d'une autre manière que le défendeur dans un procès interne (Dutoit, Commentaire de la loi fédérale du 18 décembre 1987, 3e éd., n. 5 ad art. 8 LDIP ). On ne saurait donc autoriser la recourante à présenter des conclusions re-reconventionnelles dans le présent litige au motif que la dispute présente un caractère international. Par conséquent, le grief soulevé par la recourante se confond avec l'argumentation qu'elle a développée en instance de recours de droit public. S'agissant en réalité d'une critique du droit cantonal de procédure, le moyen est irrecevable dans la présente instance.</w:t>
      </w:r>
    </w:p>
    <w:p>
      <w:r>
        <w:rPr>
          <w:b/>
        </w:rPr>
        <w:t>E. 3</w:t>
      </w:r>
    </w:p>
    <w:p>
      <w:r>
        <w:t>La recourante invoque une violation de l' art. 41 CO . Selon elle, l'attitude de l'intimée, qui a requis des mesures provisionnelles tendant au blocage du paiement du crédit documentaire, aurait été contraire au devoir du plaideur d'agir de bonne foi et constituerait un acte illicite; la conclusion contraire à laquelle est parvenue la cour cantonale consacrerait une violation du droit fédéral.</w:t>
      </w:r>
    </w:p>
    <w:p>
      <w:r>
        <w:rPr>
          <w:b/>
        </w:rPr>
        <w:t>E. 3.1</w:t>
      </w:r>
    </w:p>
    <w:p>
      <w:r>
        <w:t>L'exercice de moyens de recours et autres moyens de droit est en principe légitime, même s'il aboutit finalement à un échec. Toute personne a le droit de requérir la protection du juge pour les prétentions qu'elle croit avoir, à condition d'agir de bonne foi. L'ouverture d'une action ou la façon de conduire un procès ne peut être constitutif d'un acte illicite que si le comportement du plaideur est abusif, dolosif ou encore trahit une mauvaise foi manifeste ( ATF 123 III 101 consid: 2a). Commet ainsi un acte illicite celui qui requiert des mesures provisionnelles sans aucun motif réel ( ATF 88 II 276 consid. 4b), par exemple lorsque la décision qui y fait droit se révèle injustifiée au regard du droit matériel (Pelet, Mesures provisionnelles: droit fédéral ou cantonal ?, Réglementation fédérale des mesures provisionnelles et procédure civile cantonale contentieuse, p. 130; pour une critique sur ce chef d'illicéité, cf. Brehm, Commentaire bernois,, n. 48 ad art. 41 CO ). La doctrine conçoit même une illicéité quand les conditions d'une protection provisionnelle - et elles seules - ne sont pas remplies: le droit invoqué existe, mais pas la menace qui pèse sur lui (Pelet, op. cit., ibidem et les références). Dans tous les cas - et c'est là l'élément essentiel -, on ne peut retenir d'illicéité lorsque le requérant croyait objectivement à l'utilité de la mesure et qu'il a agi avec diligence (Bertossa/Gaillard/ Guyet/Schmidt, Commentaire de la loi de procédure civile du canton de Genève du 10 avril 1987, n. 3 ad art. 328 LPC gen.).</w:t>
      </w:r>
    </w:p>
    <w:p>
      <w:r>
        <w:rPr>
          <w:b/>
        </w:rPr>
        <w:t>E. 3.2</w:t>
      </w:r>
    </w:p>
    <w:p>
      <w:r>
        <w:t>La cour cantonale a retenu de manière à lier le Tribunal fédéral en instance de réforme ( art. 63 al. 2 OJ ) que la venderesse, informée immédiatement du défaut de conformité du produit avec les spécifications américaines, a refusé toute discussion et tout arrangement avec l'acheteuse. Au vu de l'attitude affichée par la recourante, il était urgent pour l'intimée d'empêcher le paiement du prix de vente. Le dépôt de mesures provisionnelles apparaissait donc indispensable. Au surplus, on ne peut reprocher à l'intimée d'avoir abusé de son droit en requérant le blocage du paiement du crédit documentaire, puisque - comme on le verra ci-dessous - elle était en droit de refuser la livraison de la demanderesse.</w:t>
      </w:r>
    </w:p>
    <w:p>
      <w:r>
        <w:rPr>
          <w:b/>
        </w:rPr>
        <w:t>E. 3.3</w:t>
      </w:r>
    </w:p>
    <w:p>
      <w:r>
        <w:t>Par conséquent, c'est sans violer le droit fédéral que la cour cantonale a exclu toute illicéité dans le comportement procédural de l'intimée. A défaut d'acte illicite, les autres conditions de l' art. 41 CO n'avaient pas à être examinées. Le moyen est dénué de tout fondement.</w:t>
      </w:r>
    </w:p>
    <w:p>
      <w:r>
        <w:rPr>
          <w:b/>
        </w:rPr>
        <w:t>E. 4</w:t>
      </w:r>
    </w:p>
    <w:p>
      <w:r>
        <w:t>Sous couvert d'une violation de l' art. 18 CO , la recourante entend remettre en cause l'appréciation des preuves par l'autorité cantonale. De toute manière, à l'instar de ce qui a été jugé dans le recours de droit public, la question de savoir si les parties étaient également convenues d'un contrôle de qualité au port de débarquement de la marchandise est sans pertinence pour l'issue du litige. Il a en effet été retenu, sans que cela tombe sous le feu de la critique, que le produit vendu n'avait déjà plus les qualités promises au port d'embarquement. Cette seule circonstance rend vaine toute la discussion engagée par la recourante en relation avec l' art. 18 CO . Le moyen est sans consistance.</w:t>
      </w:r>
    </w:p>
    <w:p>
      <w:r>
        <w:rPr>
          <w:b/>
        </w:rPr>
        <w:t>E. 5</w:t>
      </w:r>
    </w:p>
    <w:p>
      <w:r>
        <w:t>La recourante reproche enfin à la cour cantonale une violation de l' art. 97 CO . En retenant que la venderesse avait livré une autre chose que celle prévue contractuellement, les juges cantonaux ne pouvaient appliquer directement l' art. 97 CO pour la condamner à réparer le "dommage positif". D'après la demanderesse, sa partie adverse aurait dû lui fixer un délai au sens de l' art. 107 al. 1 CO avant de pouvoir demander la réparation de l'intérêt positif au contrat. Au surplus, elle allègue qu'un investissement de 200'000 US$ aurait "apparemment" permis de ramener le taux de RVP aux valeurs prévues par le contrat.</w:t>
      </w:r>
    </w:p>
    <w:p>
      <w:r>
        <w:rPr>
          <w:b/>
        </w:rPr>
        <w:t>E. 5.1</w:t>
      </w:r>
    </w:p>
    <w:p>
      <w:r>
        <w:t>La chose de genre ( art. 71 CO ) est celle qui a des caractéristiques propres qui la placent dans un certain genre. La notion est relative, car elle dépend de la description concrète qu'en ont donnée les parties ( ATF 121 III 453 consid. 4a). De la précision de cette détermination dépendra la question de savoir s'il s'agit d'une exécution défectueuse ou d'une inexécution (sous la forme de la livraison d'un aliud). En effet, si les parties s'entendent sur une description détaillée de l'objet du contrat, l'absence d'un élément - au moins - du descriptif entraînera la qualification d'aliud (Schönle, Commentaire zurichois, n. 82 ad art. 185 CO ; Venturi, Commentaire romand, n. 26 ad intro. art. 197-210 CO ). La référence des parties à une chose de genre sans spécification particulière entraînera en revanche l'application des règles sur la garantie pour les défauts ( art. 197 ss CO ) si l'objet du contrat est d'une qualité inférieure à la moyenne ( art. 71 al. 2 CO ; Hohl, Commentaire romand, n. 6 ad art. 71 CO ). En l'espèce, les parties sont convenues que la marchandise devait être conforme à une série de spécifications très précises, notamment en ce qui concerne la teneur en octanes et la pression vapeur Reid. Une méthode de test spéciale était en outre prévue pour vérifier ces valeurs. Dans de telles conditions, la non-conformité du produit avec l'une - au moins - des spécifications contractuelles empêchait de considérer que la marchandise convenue avait été livrée. C'est donc à bon droit que la cour cantonale a qualifié d'aliud la livraison litigieuse, ce que confirme d'ailleurs la vente ultérieure de l'essence à titre de simple "produit de mélange".</w:t>
      </w:r>
    </w:p>
    <w:p>
      <w:r>
        <w:rPr>
          <w:b/>
        </w:rPr>
        <w:t>E. 5.2</w:t>
      </w:r>
    </w:p>
    <w:p>
      <w:r>
        <w:t>Poursuivant son raisonnement juridique, la cour cantonale a assimilé cette forme d'inexécution à une violation positive du contrat, qui ouvrirait la voie à la réparation de la perte éprouvée aussi bien que du gain manqué. Lorsque le vendeur livre une autre chose que celle prévue par les parties, l'acheteur est en droit de refuser la livraison; il conserve par ailleurs sa prétention en livraison d'une marchandise conforme au contrat, si cette marchandise n'est pas épuisée. Ce sont donc les règles sur la demeure du débiteur qui s'appliquent ( art. 102 ss CO ; Schönle, op. cit., n. 82 ad art. 185 CO ; Venturi, op. cit., n. 24 ad intro. art. 197-210 CO ). Dans les ventes commerciales, les art. 190 et 191 CO prévoient un régime particulier qui assure la sécurité et la rapidité de telles transactions. Le terme de livraison est présumé être un terme fatal au sens de l' art. 108 al. 3 CO ; l'acheteur est réputé renoncer à la livraison et réclamer des dommages-intérêts dont le calcul est facilité.</w:t>
      </w:r>
    </w:p>
    <w:p>
      <w:r>
        <w:rPr>
          <w:b/>
        </w:rPr>
        <w:t>E. 5.3</w:t>
      </w:r>
    </w:p>
    <w:p>
      <w:r>
        <w:t>En l'occurrence, la défenderesse a d'abord refusé de prendre livraison de la cargaison. Deux jours après l'échéance du terme convenu de livraison, la recourante a fait décharger la marchandise litigieuse, au nom de l'acheteur. La défenderesse a par la suite vendu la cargaison, subissant une perte de 1'165'037,62 US$ correspondant à la différence entre le prix payé pour de l'essence M2 et le prix obtenu de la revente de l'essence effectivement livrée. Elle a au surplus dû s'acquitter de frais d'entreposage, par 51'036,72 US$, résultant du déchargement de la cargaison contre son gré. Au vu des stipulations contractuelles et du déroulement des faits retenu par la cour cantonale, la venderesse se trouvait en demeure simple à la seule échéance du terme convenu de livraison ( art. 102 al. 2 CO in fine), soit dès le 21 avril 1996. Il appartenait alors en principe à l'acheteuse de lui fixer un délai de grâce pour s'exécuter ( art. 107 al. 1 CO ) afin, notamment, de pouvoir réclamer ensuite des dommages-intérêts pour cause d'inexécution (art. 107 al. 2, 2ème hypothèse, CO). Toutefois, dès que la venderesse avait fait décharger la marchandise au nom de l'acheteuse, la fixation d'un tel délai n'était plus nécessaire, l'attitude de la recourante démontrant que cette mesure serait sans effet ( art. 108 ch. 1 CO ). L'application des règles sur les ventes commerciales confirme ce résultat (cf. art. 190 al. 1 CO ). Partant, l'intimée pouvait valablement réclamer des dommages-intérêts pour cause d'inexécution. Le calcul de la prétention en dommages-intérêts déduite de l'art. 107 al. 2, 2ème hypothèse, CO est identique à celui de l'indemnité due pour impossibilité fautive ( art. 97 CO ; ATF 120 II 296 consid. 3b). Par conséquent, en appliquant - même directement - l' art. 97 CO , la cour cantonale n'a pas violé le droit fédéral, du moment que le montant des dommages-intérêts auxquels l'intimée a droit était identique dans les deux cas de figure. L'application de l' art. 191 al. 2 CO n'ajouterait rien à ce raisonnement puisque, en l'occurrence, l'intimée a été contrainte de vendre la cargaison litigieuse. De toute manière, le Tribunal fédéral n'a pas été saisi de conclusions visant à la réparation du gain manqué. Non critiquées en tant que telles, les conditions de la responsabilité de la demanderesse sont ainsi bel et bien réunies. Quant à la question de l'investissement d'une somme d'argent qui aurait permis de ramener le taux de RVP aux valeurs prévues, il s'agit d'un fait qui n'a pas été constaté par la cour cantonale. Du reste, la recourante n'évoque qu'une probabilité à ce sujet, sans en préciser l'incidence quant à l'application d'un principe de droit fédéral. Mal fondé, le moyen doit être rejeté.</w:t>
      </w:r>
    </w:p>
    <w:p>
      <w:r>
        <w:rPr>
          <w:b/>
        </w:rPr>
        <w:t>E. 6</w:t>
      </w:r>
    </w:p>
    <w:p>
      <w:r>
        <w:t>A la suite du rejet de la demande en révision cantonale, le grief lié à la prétendue inexistence de l'intimée est devenu sans objet.</w:t>
      </w:r>
    </w:p>
    <w:p>
      <w:r>
        <w:rPr>
          <w:b/>
        </w:rPr>
        <w:t>E. 7</w:t>
      </w:r>
    </w:p>
    <w:p>
      <w:r>
        <w:t>Compte tenu de l'issue de la cause, la recourante supportera l'émolument de justice et versera à l'intimée une indemnité à titre de dépens (art. 156 al. 1 et 159 al. 1 OJ). Les dépens dus par la recourante seront imputés sur les sûretés qu'elle a versées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