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4C.200/2001 vom 31. Oktober 2001</w:t>
      </w:r>
    </w:p>
    <w:p>
      <w:r>
        <w:t>Bundesgericht, 2001-10-31, DE</w:t>
      </w:r>
    </w:p>
    <w:p>
      <w:r>
        <w:rPr>
          <w:b/>
        </w:rPr>
        <w:t xml:space="preserve">Quelle: </w:t>
      </w:r>
      <w:r>
        <w:t>https://mcp.opencaselaw.ch/entscheid/bger_4C.200_2001</w:t>
      </w:r>
    </w:p>
    <w:p>
      <w:r>
        <w:t>FR: TF 4C.200/2001 du 31 octobre 2001</w:t>
      </w:r>
    </w:p>
    <w:p>
      <w:r>
        <w:t>IT: TF 4C.200/2001 del 31 ottobre 2001</w:t>
      </w:r>
    </w:p>
    <w:p>
      <w:pPr>
        <w:pStyle w:val="Heading2"/>
      </w:pPr>
      <w:r>
        <w:t>Regeste</w:t>
      </w:r>
    </w:p>
    <w:p>
      <w:r>
        <w:t>Vertragsrecht</w:t>
      </w:r>
    </w:p>
    <w:p>
      <w:pPr>
        <w:pStyle w:val="Heading2"/>
      </w:pPr>
      <w:r>
        <w:t>Erwägungen</w:t>
      </w:r>
    </w:p>
    <w:p>
      <w:r>
        <w:rPr>
          <w:b/>
        </w:rPr>
        <w:t>E. 1</w:t>
      </w:r>
    </w:p>
    <w:p>
      <w:r>
        <w:t>Mit der Berufung rügt der Kläger zunächst, die Vorinstanz habe der Beklagten zu Unrecht die Legitimation zur Geltendmachung der Darlehensforderung zuerkannt. Als der Zahlungsbefehl am 4. September 1995 zugestellt worden sei, seien sämtliche Forderungen der Beklagten an das Bankenkonsortium zediert gewesen. Da für die Gläubigerstellung der Zeitpunkt der Betreibung ausschlaggebend sei, vermöge die Rückzession vom 24. September 1996 nicht zu helfen. Die gegenteilige Praxis des Bundesgerichts entspreche nicht mehr dem heutigen Stand des Rechts. Nach der Rechtsprechung des Bundesgerichts hat die Aberkennungsklage nicht den Zweck, die Überprüfung des Rechtsöffnungsentscheids zu ermöglichen, sondern sie dient als negative Feststellungsklage der Beurteilung, ob bei Erlass des Zahlungsbefehls die Forderung bestand und fällig war. Das setzt nicht voraus, dass der Aberkennungsbeklagte im Zeitpunkt der Betreibung Gläubiger der streitigen Forderung war. Es genügt vielmehr, wenn er es nach Erlass des Zahlungsbefehls durch Zession oder Rückzession wird. Die Rechtsstellung des Aberkennungsklägers wird dadurch nicht verschlechtert, da ihm sämtliche Einreden aus seinem Verhältnis zum Aberkennungsbeklagten erhalten bleiben ( BGE 95 II 242 E. 4 S. 254 und 617 E. 1 S. 620 mit Hinweisen). An dieser Praxis hat das Bundesgericht auch in neuerer Zeit festgehalten. Sie ist von einem Teil der Lehre kritisiert worden (vgl. Staehelin, Basler Kommentar, N. 44 zu Art. 83 SchKG ; Syz, Aberkennungsklage und Aberkennungsprozess gemäss Art. 83 Abs. 2 SchKG , Diss. Zürich 1971, S. 59 f.; Fritzsche/Walder, Schuldbetreibung und Konkurs nach schweizerischem Recht, Band I, S. 269 Fn. 5; Guldener, Schweizerisches Zivilprozessrecht, 3. Aufl. , Zürich 1979, S. 377 f. Fn. 62; unkritisch gegenüber der Rechtsprechung des Bundesgerichts dagegen Gilliéron, Commentaire de la loi fédérale sur la poursuite pour dettes et la faillite, Articles 1-88, Lausanne 1999, N. 78 zu Art. 83 SchKG ; Frank/Sträuli/Messmer, Kommentar zur zürcherischen Zivilprozessordnung,</w:t>
      </w:r>
    </w:p>
    <w:p>
      <w:r>
        <w:rPr>
          <w:b/>
        </w:rPr>
        <w:t>E. 3</w:t>
      </w:r>
    </w:p>
    <w:p>
      <w:r>
        <w:t>Der Kläger macht schliesslich geltend, die Vorinstanz habe in Verletzung von Art. 314 Abs. 3 OR die Forderung der Beklagten nicht unter dem Aspekt des Zinseszinsverbots geprüft, obwohl er anlässlich der Verhandlung vor Obergericht entsprechende Anträge gestellt und begründet habe. Nach ständiger Rechtsprechung hat eine Partei, die den Sachverhalt gestützt auf Art. 64 OG ergänzt wissen will, nachzuweisen, dass die fragliche Tatsache für die Beurteilung der Streitsache erheblich ist und bereits im kantonalen Verfahren form- und fristgerecht behauptet und Beweis dafür angeboten wurde ( BGE 119 II 353 E. 5c/aa S. 357 mit Hinweisen). Ob der Kläger diesen Anforderungen nachgekommen ist, kann offen bleiben. Seine Rüge einer Rechtsverletzung ist offensichtlich unbegründet. Im angefochtenen Urteil wird zum Beweis der Darlehensschuld unter anderem auf die schriftliche Erklärung des Klägers vom 7. April 1994 abgestellt, mit welcher er die Richtigkeit des Darlehenssaldos von Fr. 44'093'706.-- per 31. Dezember 1993 gegenüber der Beklagten bestätigt hat. Unstreitig resultierte dieser Betrag aus der kontokorrentmässigen Führung der Aktionärsdarlehen bei der Beklagten, mit welcher der Kläger einverstanden war. Nach Art. 314 Abs. 3 OR sind aber Kontokorrentverhältnisse vom Zinseszinsverbot ausgenommen. Solche werden durch Vereinbarung beider Parteien begründet, wobei die Beteiligung einer Bank als Partei nicht Bedingung ist (Gonzenbach, Basler Kommentar, N. 2 zu Art. 117 OR ). Mit der Anerkennung des Kontokorrentsaldos wird die Saldoforderung zufolge der Neuerung ( Art. 117 Abs. 2 OR ) zur selbständigen Forderung mit eigenem Rechtsgrund und eigener Identität. Selbst wenn die Saldoforderung ganz oder teilweise aus Zinsforderungen entstand, ist sie nicht als Zinsforderung charakterisiert und trägt ihrerseits wieder Zinse, falls solche vereinbart sind (Aepli, Zürcher Kommentar, N. 57 f. und 60 zu Art. 117 OR ). Unzulässige Zinseszinse liegen der von der Vorinstanz für begründet erklärten Forderung der Beklagten mithin nicht zugrunde.</w:t>
      </w:r>
    </w:p>
    <w:p>
      <w:r>
        <w:rPr>
          <w:b/>
        </w:rPr>
        <w:t>E. 4</w:t>
      </w:r>
    </w:p>
    <w:p>
      <w:r>
        <w:t>Aus diesen Gründen ist die Berufung abzuweisen, soweit auf sie eingetreten werden kann, und das angefochtene Urteil zu bestätigen. Dem Ausgang des Verfahrens entsprechend sind die Gerichtskosten dem Kläger aufzuerlegen ( Art. 156 Abs. 1 OG ). Dieser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