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4C.19/2001 vom 25. Mai 2001</w:t>
      </w:r>
    </w:p>
    <w:p>
      <w:r>
        <w:t>Bundesgericht, 2001-05-25, DE</w:t>
      </w:r>
    </w:p>
    <w:p>
      <w:r>
        <w:rPr>
          <w:b/>
        </w:rPr>
        <w:t xml:space="preserve">Quelle: </w:t>
      </w:r>
      <w:r>
        <w:t>https://mcp.opencaselaw.ch/entscheid/bger_4C.19_2001</w:t>
      </w:r>
    </w:p>
    <w:p>
      <w:r>
        <w:t>FR: TF 4C.19/2001 du 25 mai 2001</w:t>
      </w:r>
    </w:p>
    <w:p>
      <w:r>
        <w:t>IT: TF 4C.19/2001 del 25 maggio 2001</w:t>
      </w:r>
    </w:p>
    <w:p>
      <w:pPr>
        <w:pStyle w:val="Heading2"/>
      </w:pPr>
      <w:r>
        <w:t>Erwägungen</w:t>
      </w:r>
    </w:p>
    <w:p>
      <w:r>
        <w:rPr>
          <w:b/>
        </w:rPr>
        <w:t>E. 1</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368 E. 3 S. 372, 193 E. 1e S. 205;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127 III 73 E. 6a S. 81; 126 III 10 E. 2b S. 12; 120 II 97 E. 2b S. 99; 119 II 84 E. 3 S. 85; 115 II 484 E. 2a S. 485/6 mit Hinweisen).</w:t>
      </w:r>
    </w:p>
    <w:p>
      <w:r>
        <w:t>Soweit der Beklagte zur Begründung seines Standpunktes auf Tatsachen verweist, welche im angefochtenen Urteil keine Stütze finden und er keine der erwähnten Ausnahmen geltend macht, kann auf die Berufung nicht eingetreten werden.</w:t>
      </w:r>
    </w:p>
    <w:p>
      <w:r>
        <w:rPr>
          <w:b/>
        </w:rPr>
        <w:t>E. 2</w:t>
      </w:r>
    </w:p>
    <w:p>
      <w:r>
        <w:t>Der Beklagte macht geltend, bei der Klägerin habe es sich im Zeitpunkt der Klageeinreichung um eine faktisch liquidierte Aktiengesellschaft und daher um einen leeren Aktienmantel gehandelt. Es sei ihr deshalb die Rechtsfähigkeit und damit die Prozessfähigkeit abzusprechen.</w:t>
      </w:r>
    </w:p>
    <w:p>
      <w:r>
        <w:t>a) Nach der bundesgerichtlichen Rechtsprechung liegt eine Mantelgesellschaft vor, wenn die Gesellschaft wirtschaftlich vollständig liquidiert und von den Beteiligten aufgegeben wurde. Eine solche Aktiengesellschaft muss im Handelsregister gelöscht werden ( BGE 123 III 473 E. 5c S. 484 mit weiteren Hinweisen). Zu beachten ist allerdings, dass von einem Aktienmantel nur bei einer definitiv aufgegebenen Gesellschaft die Rede sein kann; eine bloss vorübergehende Untätigkeit genügt dagegen nicht ( BGE 94 I 562 E. 1 S. 564 ; 80 I 60 E. 2).</w:t>
      </w:r>
    </w:p>
    <w:p>
      <w:r>
        <w:t>b) Die Vorinstanz stellte fest, dass die Klägerin von ihrem Aktionariat nicht aufgegeben worden sei. Dies werde gerade dadurch bewiesen, dass die Klägerin die vorliegende Klage führe und einen Gerichtskostenvorschuss geleistet habe. Ob diese Ausführungen auf einem bundesrechtskonformen Verständnis des Erfordernisses der Aufgabe einer Aktiengesellschaft beruhen, scheint fraglich, denn das Handelsgericht stützt seine Erwägungen ausschliesslich auf Handlungen der Klägerin, welche diese gerade in demjenigen Verfahren vorgenommen hat, in welchem ihre Prozessfähigkeit bestritten wird.</w:t>
      </w:r>
    </w:p>
    <w:p>
      <w:r>
        <w:t>Entscheidend für die Annahme eines Aktienmantels ist die definitive Aufgabe der Geschäftstätigkeit. Eine solche liegt selbst nach den Vorbringen des Beklagten nicht vor. Er macht geltend, die Klägerin habe im Jahre 1997 ihre Tätigkeit aufgegeben. Nach den Feststellungen der Vorinstanz wurden die strittigen Forderungen am 15. Juni 1997 an die Klägerin abgetreten. Am 13. August 1997 notifizierte die Klägerin dem Beklagten die Zessionen und beschritt in der Folge zur Eintreibung der geltend gemachten Forderungen den Rechtsweg. Diese Aktivitäten der Klägerin stellen eine Geschäftstätigkeit dar, weshalb ihre Untätigkeit im Jahre 1997 allenfalls als vorübergehende zu qualifizieren wäre. Dies genügt für die Annahme einer definitiven Aufgabe der Aktiengesellschaft durch das Aktionariat nach der Rechtsprechung nicht (vgl. oben E. 2a). Da entgegen der vom Beklagten vertretenen Auffassung im angefochtenen Urteil nicht festgestellt wird, dass die Aktien der Klägerin verkauft wurden, wäre überdies von einer Stilllegung mit anschliessender Reaktivierung der Klägerin auszugehen. Für diesen Fall gehen auch die vom Beklagten angeführten Autoren nicht von einer inexistenten Gesellschaft aus (Forstmoser/Meier-Hayoz/Nobel, Schweizerisches Aktienrecht, S. 870/1 Rz. 169). Unter diesen Umständen braucht nicht geprüft zu werden, ob die Klägerin ihre Rechtsfähigkeit ohnehin erst mit der Löschung im Handelsregister verlieren würde ( BGE 117 III 39 E. 3b; 73 III 61 E. 1; 64 II 150 E. 1; 42 III 37 , S. 40; zum Meinungsstand in der Lehre vgl. Prader, Die Vorrats- oder Mantelgesellschaft im schweizerischen Aktienrecht, Diss. Freiburg 1995, S. 84 ff. mit weiteren Hinweisen).</w:t>
      </w:r>
    </w:p>
    <w:p>
      <w:r>
        <w:t>c) Der Beklagte beruft sich darauf, dass die vorliegende Streitigkeit vom statutarischen Zweck der Klägerin nicht gedeckt und diese seit Jahren überschuldet sei. Er übersieht dabei, dass nach Lehre und Rechtsprechung die zur Vertretung befugten Personen einer Gesellschaft alle Rechtshandlungen vornehmen können, welche durch den Gesellschaftszweck nicht geradezu ausgeschlossen werden ( BGE 116 II 320 E. 3a S. 323 mit Hinweisen). Nachdem die Vorinstanz zutreffend erkannt hat, dass vorliegend die Geltendmachung einer bestrittenen Forderung unter diese weite Definition der zweckgemässen Geschäfte zu subsumieren ist, kann dahingestellt bleiben, ob der Beklagte als (angeblicher) Schuldner aus dem statutarischen Zweck der gegen ihn vorgehenden Gläubigerin überhaupt etwas zu seinen Gunsten ableiten kann (zur Relevanz des Zweckes vgl. die Übersicht bei Forstmoser/Meier-Hayoz/Nobel, a.a.O., S. 106 Rz. 52 ff.). Die vom Beklagten ins Feld geführte Überschuldung der Klägerin sowie die behaupteten Verstösse des Verwaltungsrates und der Revisionsstelle gegen Art. 725 Abs. 2 bzw. Art. 729b Abs. 2 OR vermögen schliesslich allenfalls eine Verantwortlichkeit der genannten Organe gemäss Art. 754 und Art. 755 OR zu begründen; wie die Vorinstanz zutreffend erkannt hat, bieten diese Vorschriften einem belangten Schuldner jedoch keine Handhabe, sich gegen eine Inanspruchnahme durch eine angeblich überschuldete Gesellschaft zur Wehr zu setzen.</w:t>
      </w:r>
    </w:p>
    <w:p>
      <w:r>
        <w:t>Nach dem Gesagten hat die Vorinstanz die Prozessfähigkeit der Klägerin im Ergebnis bundesrechtskonform bejaht.</w:t>
      </w:r>
    </w:p>
    <w:p>
      <w:r>
        <w:rPr>
          <w:b/>
        </w:rPr>
        <w:t>E. 3</w:t>
      </w:r>
    </w:p>
    <w:p>
      <w:r>
        <w:t>Der Beklagte macht geltend, die Zessionen von der ursprünglichen Gläubigerin X.________ AG an die E.________ AG, von dieser an die V.________ GmbH und schliesslich an die Klägerin seien fiduziarische Rechtsgeschäfte. Hinter den vorgeschobenen Zessionarinnen stehe in Wirklichkeit die X.________ AG. Diese aber habe sich mit dem Beklagten im Vergleich vom 3. März 1995 als per Saldo aller Ansprüche auseinandergesetzt erklärt. Im Lichte dieser Saldoklausel sei es offensichtlich rechtsmissbräuchlich, wenn die X.________ AG über die Klägerin als vorgeschobene Mittelsfirma die angeblich abgetretenen Teilforderungen geltend mache. Es rechtfertige sich daher, von der juristischen Selbständigkeit der Klägerin abzusehen und "einen Durchgriff bis auf die X.________ AG vorzunehmen".</w:t>
      </w:r>
    </w:p>
    <w:p>
      <w:r>
        <w:t>Die Vorinstanz stellte fest, dass dem Beklagten vor Unterzeichnung des Vergleichs mit der X.________ AG am 3. März 1995 bewusst war, dass die X.________ AG eine Forderung gegen die Y.________ &amp; Cie. von gesamthaft Fr. 960'000.-- an die E.________ AG abgetreten hatte.</w:t>
      </w:r>
    </w:p>
    <w:p>
      <w:r>
        <w:t>Daraus schloss das Handelsgericht, dass der Beklagte wusste, dass er sich durch den mit der X.________ AG abgeschlossenen Vergleich von seiner Schuldpflicht gegenüber der E.________ AG bzw. gegenüber späteren Zessionarinnen nicht befreien konnte. Diese Erwägungen basieren auf einer Würdigung der Beweise und sind für das Bundesgericht verbindlich (vgl. oben E. 1). Ist im Berufungsverfahren somit davon auszugehen, dass die strittigen Forderungen vom Vergleich vom 3. März 1995 nicht erfasst wurden, kann in deren Geltendmachung durch die Klägerin kein Rechtsmissbrauch erblickt werden. Die Rüge des Beklagten erweist sich daher als unbegründet.</w:t>
      </w:r>
    </w:p>
    <w:p>
      <w:r>
        <w:rPr>
          <w:b/>
        </w:rPr>
        <w:t>E. 4</w:t>
      </w:r>
    </w:p>
    <w:p>
      <w:r>
        <w:t>Der inzwischen verstorbene B.________ war wie der Beklagte Kollektivgesellschafter der Y.________ &amp; Cie. und haftete als solcher für deren Verbindlichkeiten ebenfalls solidarisch ( Art. 568 Abs. 1 OR ). Der Beklagte macht geltend, die E.________ AG als erste Zessionarin habe die dem vorliegenden Verfahren zugrunde liegende Forderung im Umfang von Fr. 480'000.-- mit einer Gegenforderung von B.________ verrechnet. Die Klage sei deshalb im hälftigen Betrag abzuweisen.</w:t>
      </w:r>
    </w:p>
    <w:p>
      <w:r>
        <w:t>a) Gemäss dem angefochtenen Urteil erklärte die E.________ AG mit Schreiben vom 6. bzw. 15. September 1993 an B.________, dass sie dessen Forderung aus einem Vergleich vom 11./14. September 1992 über DM 500'000.-- samt aufgelaufener Zinsen mit der ihr von der X.________ AG abgetretenen Teilforderung gegen die Y.________ &amp; Cie. über Fr. 480'000.-- verrechne. Im kantonalen Verfahren war umstritten, ob die Voraussetzungen für die persönliche Belangbarkeit von B.________ (Art. 573 Abs. 3 i.V.m. Art. 568 Abs. 3 OR ) im Zeitpunkt der Verrechnungserklärung der E.________ AG überhaupt gegeben waren. Die Vorinstanz liess diese Frage ausdrücklich offen, da nach ihrer Auffassung die Verrechnungserklärung der E.________ AG aus einem anderen Grund keine Wirkung zeitigte. Im Folgenden ist daher der Standpunkt des Beklagten, wonach die Verrechnung rechtsgültig erfolgt sei, als zutreffend zu unterstellen und zu prüfen, ob die auf dieser Annahme beruhenden Erwägungen der Vorinstanz bundesrechtskonform sind.</w:t>
      </w:r>
    </w:p>
    <w:p>
      <w:r>
        <w:t>b) Das Handelsgericht erwog unter Hinweis auf Art. 114 Abs. 3 OR und Art. 801 Abs. 1 ZGB , durch die Verrechnungserklärung der E.________ AG sei zwar die Hauptforderung von B.________ untergegangen, nicht jedoch das hierfür auf einer Liegenschaft in Augsburg haftende Grundpfandrecht.</w:t>
      </w:r>
    </w:p>
    <w:p>
      <w:r>
        <w:t>B.________ habe in der Folge seine Zustimmung zur Löschung des Pfandrechts trotz entsprechender vertraglicher Verpflichtung nicht gegeben. Vielmehr sei im Spätherbst 1993 die Forderung von B.________ sowie das dafür haftende Grundpfand gegen eine Gesellschaft bürgerlichen (deutschen) Rechts namens "Projektgemeinschaft R.________" als neue Schuldnerin erneuert worden. Als Gesellschafterin der "Projektgemeinschaft R.________" habe die E.________ AG damit weiterhin für die Forderung von B.________ gehaftet, was es diesem ermöglicht habe, eineinhalb Jahre danach durch seinen deutschen Anwalt die Zwangsverwertung des Pfandes zu beantragen.</w:t>
      </w:r>
    </w:p>
    <w:p>
      <w:r>
        <w:t>Mit dieser "Neuordnung der Verhältnisse" sei auch die Verrechnungsforderung der E.________ AG wieder aufgelebt.</w:t>
      </w:r>
    </w:p>
    <w:p>
      <w:r>
        <w:t>c) Ob Art. 801 Abs. 1 ZGB auf das hier in Frage stehende Grundpfand, welches auf einem Grundstück in Deutschland lastete, Anwendung findet, ist im Lichte von Art. 99 Abs. 1 IPRG zumindest fraglich. Da die vorinstanzliche Begründung aus einem anderen Grund nicht im Einklang mit dem Bundesrecht steht, braucht darauf jedoch nicht weiter eingegangen zu werden.</w:t>
      </w:r>
    </w:p>
    <w:p>
      <w:r>
        <w:t>Die Verrechnung als Gestaltungsgeschäft ist bedingungsfeindlich und unwiderruflich ( BGE 107 Ib 98 E. 8d S. 111; aus der Lehre statt vieler Aepli, Zürcher Kommentar, N. 68 ff. zu Art. 124 OR ). Wollen die Parteien die vor der Verrechnungserklärung bestehende Rechtslage wiederherstellen, müssen sie die durch die Verrechnung erloschenen Obligationen vertraglich neu begründen (Aepli, Zürcher Kommentar, N. 75 zu Art. 124 OR ). Der Vorinstanz kann somit nicht gefolgt werden, wenn sie ausführt, die Verrechnungsforderung der E.________ AG sei durch die Neuordnung der Verhältnisse wieder aufgelebt; vielmehr lag allenfalls eine Neubegründung einer Forderung vor (von Tuhr/Escher, Allgemeiner Teil des Schweizerischen Obligationenrechts, Band II, S. 207). Damit ist zu prüfen, ob die von der Vorinstanz angenommene Neuordnung der Verhältnisse durch B.________ und die E.________ AG eine Verpflichtung des Beklagten zur Folge haben konnte.</w:t>
      </w:r>
    </w:p>
    <w:p>
      <w:r>
        <w:t>Grundvoraussetzung einer Belangbarkeit des Beklagten für die durch Verrechnung untergegangene Forderung der E.________ AG gegen die Y.________ &amp; Cie. wäre, dass B.________ eine solche Forderung der E.________ AG im Namen der Y.________ &amp; Cie. gültig neu begründet hat. Eine solche Neubegründung stünde indessen im Widerspruch zur Annahme, dass die Verrechnung zunächst gültig erfolgt sei. Denn die - unterstellte - Gültigkeit der Verrechnung durch die E.________ AG gegenüber B.________ setzt voraus, dass die Y.________ &amp; Cie. im Zeitpunkt der Verrechnungserklärung aufgelöst war und dass dies der E.________ AG bekannt war, denn nur unter dieser Bedingung war der Kollektivgesellschafter B.________ überhaupt persönlich belangbar ( Art. 568 Abs. 3 OR ). War aber die Y.________ &amp; Cie. aufgelöst, konnte B.________ keine neue Forderung in deren Namen eingehen; mindestens fehlt es bei dieser Sachlage an der notwendigen Gutgläubigkeit der E.________ AG im Sinne von Art. 563 OR .</w:t>
      </w:r>
    </w:p>
    <w:p>
      <w:r>
        <w:t>Ob sich B.________ im Rahmen der Neuordnung der Verhältnisse allenfalls persönlich gegenüber der E.________ AG verpflichtet hat (vgl. Art. 146 OR ), ist im vorliegenden Verfahren unerheblich.</w:t>
      </w:r>
    </w:p>
    <w:p>
      <w:r>
        <w:t>d) Zusammengefasst kann entgegen der Auffassung der Vorinstanz nicht offen bleiben, ob im Zeitpunkt der Verrechnungserklärung der E.________ AG gegenüber B.________ ein Grund für die Auflösung der Y.________ &amp; Cie. vorlag und B.________ als Kollektivgesellschafter der Y.________ &amp; Cie.</w:t>
      </w:r>
    </w:p>
    <w:p>
      <w:r>
        <w:t>deshalb gemäss Art. 573 Abs. 3 i.V.m. Art. 568 Abs. 3 OR persönlich belangbar war (vgl. dazu BGE 100 II 376 E. 2).</w:t>
      </w:r>
    </w:p>
    <w:p>
      <w:r>
        <w:t>Ist die Frage nämlich zu bejahen, ist die Verrechnungsforderung untergegangen und eine Neubegründung durch B.________ im Namen der Y.________ &amp; Cie. und damit eine Verpflichtung des Beklagten zu verneinen; lag demgegenüber kein Auflösungsgrund vor, konnte die Verrechnungsforderung mangels persönlicher Belangbarkeit von B.________ nicht untergehen.</w:t>
      </w:r>
    </w:p>
    <w:p>
      <w:r>
        <w:t>Die Angelegenheit ist daher zur Ergänzung des Tatbestandes in diesem Punkt und zu neuer Entscheidung im Sinne der Erwägungen an die Vorinstanz zurückzuweisen.</w:t>
      </w:r>
    </w:p>
    <w:p>
      <w:r>
        <w:t>5.-Der Beklagte obsiegt damit mit Bezug auf die Hälfte der eingeklagten Forderung, wobei der definitive Ausgang der Streitigkeit noch nicht feststeht. Bei diesem Verfahrensausgang rechtfertigt es sich, den Parteien die Kosten des bundesgerichtlichen Verfahrens je zur Hälfte aufzuerlegen ( Art. 156 Abs. 3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