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4C.198/2003 vom 13. November 2003</w:t>
      </w:r>
    </w:p>
    <w:p>
      <w:r>
        <w:t>Bundesgericht, 2003-11-13, DE</w:t>
      </w:r>
    </w:p>
    <w:p>
      <w:r>
        <w:rPr>
          <w:b/>
        </w:rPr>
        <w:t xml:space="preserve">Quelle: </w:t>
      </w:r>
      <w:r>
        <w:t>https://mcp.opencaselaw.ch/entscheid/bger_4C.198_2003</w:t>
      </w:r>
    </w:p>
    <w:p>
      <w:r>
        <w:t>FR: TF 4C.198/2003 du 13 novembre 2003</w:t>
      </w:r>
    </w:p>
    <w:p>
      <w:r>
        <w:t>IT: TF 4C.198/2003 del 13 novembre 2003</w:t>
      </w:r>
    </w:p>
    <w:p>
      <w:pPr>
        <w:pStyle w:val="Heading2"/>
      </w:pPr>
      <w:r>
        <w:t>Regeste</w:t>
      </w:r>
    </w:p>
    <w:p>
      <w:r>
        <w:t>Vertragsrecht</w:t>
      </w:r>
    </w:p>
    <w:p>
      <w:pPr>
        <w:pStyle w:val="Heading2"/>
      </w:pPr>
      <w:r>
        <w:t>Erwägungen</w:t>
      </w:r>
    </w:p>
    <w:p>
      <w:r>
        <w:rPr>
          <w:b/>
        </w:rPr>
        <w:t>E. 1</w:t>
      </w:r>
    </w:p>
    <w:p>
      <w:r>
        <w:t>Der Kläger ficht die Abweisung seiner Schadenersatzforderung nicht mit Anschlussberufung an, weshalb das angefochtene Urteil insoweit in Rechtskraft erwachsen ist.</w:t>
      </w:r>
    </w:p>
    <w:p>
      <w:r>
        <w:rPr>
          <w:b/>
        </w:rPr>
        <w:t>E. 2.1</w:t>
      </w:r>
    </w:p>
    <w:p>
      <w:r>
        <w:t>Auf die form- und fristgerechte Berufung ist grundsätzlich einzutreten, da der angefochtene Endentscheid eine Zivilrechtsstreitigkeit betrifft und er mit keinem ordentlichen kantonalen Rechtsmittel angefochten werden kann ( Art. 48 Abs. 1 OG ). Zudem wird der erforderliche Streitwert von Fr. 8'000.-- erreicht ( Art. 46 OG ).</w:t>
      </w:r>
    </w:p>
    <w:p>
      <w:r>
        <w:rPr>
          <w:b/>
        </w:rPr>
        <w:t>E. 2.2</w:t>
      </w:r>
    </w:p>
    <w:p>
      <w:r>
        <w:t>Mit Berufung kann geltend gemacht werden, der angefochtene Entscheid beruhe auf Verletzung des Bundesrechts mit Einschluss der durch den Bund abgeschlossenen völkerrechtlichen Verträge ( Art. 43 Abs. 1 OG ). Zu diesen Verträgen gehört das Übereinkommen der Vereinten Nationen über Verträge über den internationalen Warenkauf, (United Nations Convention on Contracts for the International Sale of Goods, CISG bzw. UN-Kaufrecht, SR 0.221.211.1). Dieses kommt im vorliegenden Fall zur Anwendung, da der strittige Kaufvertrag zwischen zwei Parteien mit Sitz in verschiedenen Vertragsstaaten abgeschlossen wurde ( Art. 1 Abs. 1 lit. a CISG ).</w:t>
      </w:r>
    </w:p>
    <w:p>
      <w:r>
        <w:rPr>
          <w:b/>
        </w:rPr>
        <w:t>E. 2.3</w:t>
      </w:r>
    </w:p>
    <w:p>
      <w:r>
        <w:t>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es sei denn, es werde dieser zugleich ein offensichtliches Versehen, eine Verletzung bundesrechtlicher Beweisvorschriften ( Art. 63 Abs. 2 OG ) oder unvollständige Ermittlung des Sachverhalts vorgeworfen ( Art. 64 OG ; BGE 120 II 97 E. 2b S. 99; 119 II 84 E. 3; 116 II 93 E. 2, 489 E. d, 749 mit Hinweisen). Gegen diese Vorschriften verstösst die Beklagte, wenn sie, ohne eine der genannten Ausnahmen geltend zu machen, versucht, das vom Obergericht festgehaltene Beweisergebnis bezüglich der Mängel in Zweifel zu ziehen. Insoweit ist daher auf die Berufung nicht einzutreten.</w:t>
      </w:r>
    </w:p>
    <w:p>
      <w:r>
        <w:rPr>
          <w:b/>
        </w:rPr>
        <w:t>E. 2.4</w:t>
      </w:r>
    </w:p>
    <w:p>
      <w:r>
        <w:t>Das Begehren der Beklagten, den Kläger anzuweisen, die Maschine abzuholen, ist neu und damit unzulässig ( Art. 55 Abs. 1 lit. b OG ).</w:t>
      </w:r>
    </w:p>
    <w:p>
      <w:r>
        <w:rPr>
          <w:b/>
        </w:rPr>
        <w:t>E. 3.1</w:t>
      </w:r>
    </w:p>
    <w:p>
      <w:r>
        <w:t>Nach dem UN-Kaufrecht hat der Käufer die Ware innerhalb einer so kurzen Frist zu untersuchen oder untersuchen zu lassen, wie es die Umstände erlauben ( Art. 38 Abs. 1 CISG ). Er verliert das Recht, sich auf eine Vertragswidrigkeit der Ware zu berufen, wenn er sie dem Verkäufer nicht innerhalb einer angemessenen Frist nach dem Zeitpunkt, in der er sie festgestellt hat oder hätte feststellen müssen, anzeigt und er dabei die Art der Vertragswidrigkeit genau bezeichnet ( Art. 39 Abs. 2 CISG ). Ob diese Fristen eingehalten wurden, beurteilt das Gericht nach seinem Ermessen.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351 E. 4a S. 354, mit weiteren Hinweisen).</w:t>
      </w:r>
    </w:p>
    <w:p>
      <w:r>
        <w:rPr>
          <w:b/>
        </w:rPr>
        <w:t>E. 3.2</w:t>
      </w:r>
    </w:p>
    <w:p>
      <w:r>
        <w:t>Das Obergericht ging unter Berücksichtigung von Lehre und Rechtsprechung davon aus, im vorliegenden Fall könne von einer Untersuchungsfrist von einer Woche und einer Anzeigenfrist von einem Monat ausgegangen werden, weshalb die Rüge vom 26. August 1996 rechtzeitig erfolgt sei. Zudem habe die Beklagte am 5. September 1996, mithin gerade einen Monat nachdem davon auszugehen sei, dass sie die gerügten Mängel entdeckt habe, erneut detaillierte Mängelrüge erhoben. In Anbetracht des Umstandes, dass ein Vertreter der Verkäuferin am 29. August 1996 die Maschine nochmals überprüft habe, erscheine auch die zweite und detaillierte Mängelrüge vom 5. September 1996 keineswegs als verspätet. Bezüglich dieser Beurteilung ist eine Ermessensüberschreitung des Obergerichts nicht ersichtlich. Sie wird denn auch vom Kläger nicht geltend gemacht.</w:t>
      </w:r>
    </w:p>
    <w:p>
      <w:r>
        <w:rPr>
          <w:b/>
        </w:rPr>
        <w:t>E. 4.1</w:t>
      </w:r>
    </w:p>
    <w:p>
      <w:r>
        <w:t>Das Obergericht hat angenommen, mit der Mängelanzeige vom 5. September 1996 habe die Beklagte gerügt, der Destillationsregler sei defekt, der Nierosterbehälter rinne, das Kondenswasser werde nicht abgetrennt, die Reinigungsverstärkerpumpe sei nicht angeschlossen und eingestellt und die Imprägnierpumpe sei nicht geliefert worden. Weiter führte das Obergericht aus, zwar habe der Experte angegeben, die Funktionsfähigkeit der Maschine sei nicht gewährleistet, da sie den Ansprüchen eines Prototyp-Standards nicht zu genügen vermöge. Indessen habe die Beklagte diesen Mangel nicht gerügt. Ebenso wenig habe die Beklagte gerügt, dass die Messzelle am Stickstoffgenerator defekt und dieser selber verdreckt und schlecht gewartet sei. Entgegen der Ansicht des Amtsgerichts könne die Beklagte daher aus diesem Mangel keine Rechte ableiten.</w:t>
      </w:r>
    </w:p>
    <w:p>
      <w:r>
        <w:rPr>
          <w:b/>
        </w:rPr>
        <w:t>E. 4.2</w:t>
      </w:r>
    </w:p>
    <w:p>
      <w:r>
        <w:t>Die Beklagte macht geltend, das Obergericht habe zu Unrecht bloss die Mängel geprüft, welche sie in ihrem Schreiben vom 5. September 1996 im Einzelnen erwähnt habe. Es habe dabei ausser Acht gelassen, dass die Beklagte darin generell eine "unbrauchbare Maschinen-Lieferung" gerügt habe und die einzelnen Mängel nur als Hinweis auf Problemkreise zu verstehen seien, auf welche die Funktionsuntüchtigkeit nach der Einschätzung der Beklagten zurückzuführen sei. Damit habe die Beklagte hinreichend gerügt, dass die Maschine unbrauchbar sei.</w:t>
      </w:r>
    </w:p>
    <w:p>
      <w:r>
        <w:rPr>
          <w:b/>
        </w:rPr>
        <w:t>E. 4.3</w:t>
      </w:r>
    </w:p>
    <w:p>
      <w:r>
        <w:t>Das UN-Kaufrecht wurde auf Arabisch, Englisch, Französisch, Spanisch, Russisch und Chinesisch verfasst. Es wurde u.a. ins Deutsche übersetzt. Bei Unklarheiten über den Wortlaut ist auf die Originaltexte abzustellen, wobei der englischen und sekundär der französischen Fassung eine erhöhte Bedeutung zukommt, da Englisch und Französisch die offiziellen Konferenzsprachen waren und die Verhandlungen hauptsächlich auf Englisch geführt wurden (Witz, in: International Einheitliches Kaufrecht, Praktiker-Kommentar und Vertragsgestaltung zum CISG von Witz/Salger/Lorenz, N. 20 zu Art. 7 CISG ; Achilles, Kommentar zum UN-Kaufrechtsübereinkommen (CISG), N. 4 zu Art. 7 CISG ; vgl. auch Siehr, in: Honsell (Hrsg.) Kommentar zum UN-Kaufrecht, N. 6 zur Präambel; Ferrari, in: Schlechtriem (Hrsg.), Kommentar zum Einheitlichen UN-Kaufrecht, 3. Aufl. N. 35 zu Art. 7 CISG ). Nach der deutschen Übersetzung von Art. 39 Abs. 1 des Übereinkommens der Vereinten Nationen über Verträge über den internationalen Warenkauf (United Nations Convention on Contracts for the International Sale of Goods, CISG bzw. UN-Kaufrecht; SR 0.221.211.1) hat der Käufer bei der Anzeige der Vertragswidrigkeit deren Art genau zu bezeichnen. Der englische und französische Konventionstext sprechen von "specifying the nature of the lack of conformity" bzw. von "en précisant la nature de ce défaut". Die Anzeige muss damit die Natur, d.h. die Art oder Wesensart, das Wesen bzw. den Charakter der Vertragswidrigkeit spezifizieren (vgl. Merriam-Webmaster Dictionary, der "nature" als Synonym von "essence" als "the inherent character or basic constitution of a person or thing" definiert, vgl. auch Le Grand Robert de la langue française, der "nature" mit "essence" gleichsetzt). Zu beachten ist, dass die Verben "specify" bzw. "préciser" nicht nur mit "genau bezeichnen", sondern auch mit "bezeichnen" bzw. "angeben" übersetzt werden können. Die Originaltexte stellen daher an die Genauigkeit der Bezeichnung weniger hohe Anforderungen, als dies die deutsche Übersetzung erwarten lässt (Schwenzer, in: Schlechtriem (Hrsg.), Kommentar zum Einheitlichen UN-Kaufrecht, 3. Aufl., N. 6 zu Art. 39 CISG ; Michael G. Gerny, Untersuchungs- und Rügepflichten beim Kauf nach schweizerischem, französischem und US-amerikanischem Recht sowie nach CISG, Diss. Basel 1999, S. 196). Demnach genügt eine Mängelanzeige, welche die Natur bzw. die Wesensart der Vertragswidrigkeit (genau) angibt. Eine präzisere Umschreibung verlangt der Wortlaut von Art. 39 Abs. 1 CISG nicht. Dies ist auch nicht erforderlich, da dem Verkäufer im Zeitalter der elektronischen Kommunikation ohne weiteres zumutbar ist, Rückfragen zu stellen, wenn er vom Käufer genauere Angaben haben möchte (vgl. Schwenzer, a.a.O., N. 7 zu Art. 39 CSIG; David Rüetschi, Substanziierung der Mängelrüge, recht 21/2003, S. 115 ff., S. 121; Gerny, a.a.O., S. 199). Zur Umschreibung der Natur bzw. Art der Vertragswidrigkeit genügt es, wenn der Käufer mitteilt, eine Maschine bzw. Teile davon würden nicht funktionieren und er die entsprechenden Symptome angibt. Nicht erforderlich ist, dass er auch die Ursachen der Funktionsstörungen bezeichnet (Schwenzer, a.a.O., N. 8 zu Art. 39 CISG ; Lüderitz/Schüssler-Langeheine, in: Soergel (Hrsg.), Kommentar zum Bürgerlichen Gesetzbuch, 13. Aufl., Bd. 13 CISG, N. 8 zu Art. 39 CISG ; Hans-Josef Vogel, Die Untersuchungs- und Rügepflicht im UN-Kaufrecht, Diss. Bonn 2000, S. 98 f.). Sofern der Verkäufer den Erklärungswillen des Käufers nicht kennt, sind seine Mängelanzeige und sein sonstiges Verhalten so auszulegen, wie eine vernünftige Person in gleicher Stellung wie die des Verkäufers sie unter den gleichen Umständen aufgefasst hätte ( Art. 8 Abs. 2 CISG ).</w:t>
      </w:r>
    </w:p>
    <w:p>
      <w:r>
        <w:rPr>
          <w:b/>
        </w:rPr>
        <w:t>E. 4.4</w:t>
      </w:r>
    </w:p>
    <w:p>
      <w:r>
        <w:t>Die Beklagte gab in ihrem Schreiben vom 5. September 1996 an, dass die gelieferte Maschine nicht brauchbar sei. Diese Angabe ist im Zusammenhang zu würdigen. So führte die Beklagte daneben einzelne Funktionsstörungen bzw. fehlende Teile an und verlangte die Behebung der Missstände. Aus dem Nachbesserungsbegehren und den im Einzelnen aufgelisteten Störungen ergibt sich, dass die Beklagte nicht die generelle konstruktionsbedingte Funktionsuntauglichkeit der Maschine rügte, sondern die Maschine als defekt aber grundsätzlich funktionstauglich ansah. Das Obergericht hat daher zu Recht angenommen, die vom Experten festgestellte Funktionsunfähigkeit der Maschine auf Grund des mangelnden Prototyp-Standards sei von der Beklagten nicht gerügt worden. Die Formulierung, dass die Beklagte nochmals die Mängel angebe, zeigt, dass die nachstehende Liste der Vertragswidrigkeiten als abschliessend zu verstehen war. Da der Stickstoffgenerator in dieser Liste nicht angeführt wurde, konnte die Verkäuferin annehmen, er werde nicht beanstandet. Damit hat das Obergericht zu Recht angenommen, dass insoweit eine Mängelrüge fehlt und die Beklagte daher aus der Mangelhaftigkeit des Stickstoffgenerators und dem ungenügenden technischen Standard der Maschine keine Rechte ableiten könne.</w:t>
      </w:r>
    </w:p>
    <w:p>
      <w:r>
        <w:rPr>
          <w:b/>
        </w:rPr>
        <w:t>E. 5.1</w:t>
      </w:r>
    </w:p>
    <w:p>
      <w:r>
        <w:t>Alsdann führte das Obergericht aus, das eingeholte Gutachten ergebe zusammengefasst, dass mit Ausnahme der fehlenden Imprägnierpumpe bezüglich der im Schreiben vom 5. September 1996 gerügten Mängel weder für das Bestehen noch für deren Nichtbestehen ein Beweis vorliege. Da diese Mängel innerhalb der Frist von Art. 39 CISG gerügt worden seien, müsse grundsätzlich der Verkäufer beweisen, dass diese Vertragswidrigkeiten im massgeblichen Beurteilungszeitpunkt nicht bestanden. Im vorliegenden Fall habe jedoch die Beklagte die Anlage demontiert, was dazu geführt habe, dass der Experte mit Ausnahme der fehlenden Imprägnierpumpe zu den gerügten Mängeln keine Aussage habe machen können. Die Beweisschwierigkeiten seien demnach von der Beklagten verursacht worden, weshalb es gerechtfertigt erscheine, sie die Folgen der Beweislosigkeit tragen zu lassen. Damit könne die Beklagte alleine aus dem Fehlen der Imprägnierpumpe Rechte ableiten, da die übrigen angezeigten Mängel nicht hätten nachgewiesen werden können.</w:t>
      </w:r>
    </w:p>
    <w:p>
      <w:r>
        <w:rPr>
          <w:b/>
        </w:rPr>
        <w:t>E. 5.2</w:t>
      </w:r>
    </w:p>
    <w:p>
      <w:r>
        <w:t>Die Beklagte rügt, das Obergericht habe zu Unrecht angenommen, sie habe die rechtzeitig gerügten Mängel zu beweisen. Es habe ausser Acht gelassen, dass die Unmöglichkeit des Beweises der Verkäuferin anzulasten sei, da sie keine Schaltpläne geliefert habe und daher die Wiederinbetriebnahme der drei an verschiedenen Orten gelagerten Maschinenkomponenten verunmöglicht habe.</w:t>
      </w:r>
    </w:p>
    <w:p>
      <w:r>
        <w:rPr>
          <w:b/>
        </w:rPr>
        <w:t>E. 5.3</w:t>
      </w:r>
    </w:p>
    <w:p>
      <w:r>
        <w:t>Die Verteilung der Beweislast gehört gemäss der herrschenden Lehre zu den im UN-Kaufrecht geregelten Gegenständen (Siehr, in: Honsell (Hrsg.), Kommentar zum UN-Kaufrecht, N. 10 zu Art. 4 CISG ; Magnus, in: J. von Staudingers Kommentar zum Bürgerlichen Gesetzbuch, Wiener UN-Kaufrecht (CISG), 13. Bearbeitung, N. 63 zu Art. 4 CISG ; Ferrari, a.a.O., N. 49 zu Art. 4 CISG , mit weiteren Hinweisen). Fehlt im UN-Kaufrecht eine ausdrückliche Beweislastregel, so ist diese Lücke nach den allgemeinen Grundsätzen zu schliessen, die diesem Übereinkommen zugrunde liegen ( Art. 7 Abs. 2 CISG ; Schnyder/Straub, in: Honsell (Hrsg.), Kommentar zum UN-Kaufrecht, N. 68 zu Art. 45 CISG ). Als solcher Grundsatz ist anerkannt, dass in der Regel jede Partei für die tatsächlichen Voraussetzungen der ihr günstigen Norm beweispflichtig ist (Magnus, a.a.O., N. 67 zu Art. 4 CISG ; Ferrari, a.a.O., N. 52 zu Art. 4 CISG ; Achilles, Kommentar zum UN-Kaufrechtsübereinkommen (CISG), N. 15 zu Art. 4 CISG ; Witz, a.a.O., N. 93 zu Art. 7 CISG ). Weiter hat die Partei, welche sich auf eine Ausnahmeregel beruft, grundsätzlich deren tatsächliche Voraussetzungen zu beweisen (Magnus, a.a.O., N. 68 zu Art. 4 CISG ; Ferrari, a.a.O., N. 50 zu Art. 4 CISG , mit weiteren Hinweisen; vgl. auch Schnyder/Straub, a.a.O., N. 68 zu Art. 45 CISG , welche insoweit zwischen Grund- und Gegentatbestand unterscheiden). Schliesslich wird als Grundsatz anerkannt, dass Tatsachen aus einem Bereich, welcher einer Partei deutlich besser bekannt ist als der anderen, diejenige Partei nachweisen muss, welche die Herrschaft über diesen Bereich hat (Magnus, a.a.O., N. 69 zu Art. 4 CISG ; Ferrari, a.a.O., N. 51 zu Art. 4 CISG ; Schnyder/Straub, a.a.O., N. 68 zu Art. 45 CISG ; Clemens Antweiler, Beweislastverteilung im UN-Kaufrecht, Diss. Mainz 1994, S. 96 ff.). Mit der Beachtung der Beweisnähe, bzw. der Möglichkeit einer Partei, Tatsachen zu beweisen, sollen Beweisprobleme vermieden werden. Nach dem Prinzip, dass die Partei die Voraussetzungen einer für sie günstigen Norm nachweisen muss, hat der Verkäufer, der den Kaufpreis verlangt, die vertragskonforme Lieferung zu beweisen und der Käufer, der aus der Vertragswidrigkeit der Ware Gegenansprüche (z.B. auf Rücktritt vom Vertrag oder auf Minderung) ableitet, die Vertragswidrigkeit nachzuweisen. Damit sind nach dem genannten Grundsatz beide Parteien bezüglich der Vertragskonformität beweispflichtig, soweit sie aus deren Vorliegen bzw. Fehlen Rechte ableiten. Da insoweit keine Ausnahmeregel vorliegt, ist die Abgrenzung der Beweislast bezüglich der Vertragswidrigkeit der Ware unter Berücksichtigung der Beweisnähe zu bestimmen. Diesem Prinzip folgend ist auf den Übergang der Ware in den Herrschaftsbereich des Käufers abzustellen. Dem entspricht, dass nach der Rechtsprechung des deutschen Bundesgerichtshofs (BGH) der Käufer nach der rügelosen Abnahme der Ware deren Vertragswidrigkeit zu beweisen hat, wobei unter der Abnahme gemäss Art. 60 lit. b CISG die körperliche Übernahme der Ware verstanden wird (Urteil des BGH vom 8. März 1995, BGHZ 129 S. 75 ff., S. 81; CISG-online Nr. 144, E. 1b/aa; vgl. auch Urteil des Oberlandesgerichts Frankfurt am Main vom 13. Juni 1991, NJW 1991 S. 3102, CISG-online Nr. 23; im Ergebnis ebenso: Urteil der Cour d'Appel, Mons (Belgien) vom 8. März 2001 [R.G.1999/242]; zustimmend: Achilles, a.a.O., N. 15 zu Art. 4 CISG ; Ferrari, a.a.O., N. 52 zu Art. 4 CISG ; Burghard Piltz, Neue Entwicklungen im UN-Kaufrecht, NJW 2003, S. 2056 ff., S. 2061; im Ergebnis ebenso: Schnyder/Straub, a.a.O., N. 58 zu Art. 50 CISG ; Bianca, in: Commentary on the International Sales Law, the 1980 Vienna Sales Convention, Bianca/Bonell (Hrsg.), N. 3.1. zu Art. 36 CISG ). Demgegenüber wird auch die Auffassung vertreten, eine rügelose Abnahme sei erst nach unbenutztem Ablauf der Frist zur Untersuchung der Ware und Anzeige von Vertragswidrigkeiten anzunehmen. Würden während dieser Frist Mängel angezeigt, so habe der Verkäufer deren Nichtbestehen im Zeitpunkt des Gefahrenübergangs zu beweisen (Huber, in: Schlechtriem (Hrsg.), Kommentar zum Einheitlichen UN-Kaufrecht, 3. Aufl., N. 13 zu Art. 45 CISG ; Schwenzer, a.a.O., N. 49 zu Art. 35 CISG ; Antweiler, a.a.O., S. 169; vgl. auch Urteil des Handelsgerichts Zürich vom 30. November 1998, SZIER 1999 S. 185 ff., S. 188). Diese Auffassung trägt indes dem Umstand keine Rechnung, dass sich die Ware nach der Übernahme durch den Käufer in seinem alleinigen Herrschaftsbereich befindet und er daher besser in der Lage ist, den Bestand einer Vertragswidrigkeit zu beweisen als der Verkäufer dessen Abwesenheit. So hat dieser insbesondere während der angemessenen Anzeigefrist gemäss Art. 39 CISG keine Möglichkeit zur Beweissicherung. Demnach rechtfertigt es sich, vom Käufer, der die Ware übernommen und daran die Sachherrschaft erlangt hat, den Nachweis der Vertragswidrigkeit der gelieferten Ware zu verlangen, soweit er daraus Rechte ableitet.</w:t>
      </w:r>
    </w:p>
    <w:p>
      <w:r>
        <w:rPr>
          <w:b/>
        </w:rPr>
        <w:t>E. 5.4</w:t>
      </w:r>
    </w:p>
    <w:p>
      <w:r>
        <w:t>Aus dem Gesagten folgt, dass die Beklagte, welche die gelieferte Maschine übernommen und in Besitz genommen hat, deren Vertragswidrigkeit beweisen muss, soweit sie daraus das Recht auf Vertragsrücktritt oder Minderung ableitet. Das Obergericht hat daher im Ergebnis die Beweislast bundesrechtskonform verteilt. Unbedeutend ist jedoch, dass die Maschine von der Beklagten demontiert wurde, da diese damit ihre eigene Beweisführung und nicht diejenige des Klägers erschwerte (vgl. Urteil des BGH vom 25. Juni 1997, NJW 1997 S. 3311 ff., CISG-online Nr. 277, E. 2). Unerheblich ist auch, ob die Verkäuferin Schaltpläne geliefert hat, da die Beklagte das Fehlen solcher Pläne nicht rechtzeitig gerügt hat und sie deshalb daraus auch in beweisrechtlicher Hinsicht keine Rechte ableiten kann.</w:t>
      </w:r>
    </w:p>
    <w:p>
      <w:r>
        <w:rPr>
          <w:b/>
        </w:rPr>
        <w:t>E. 6.1</w:t>
      </w:r>
    </w:p>
    <w:p>
      <w:r>
        <w:t>Die Beklagte leitete aus den von ihr geltend gemachten Vertragswidrigkeiten primär einen Anspruch auf Aufhebung des Vertrages ab. Zur Begründung dieses Anspruchs führt die Beklagte in ihrer Berufung zusammengefasst an, die Maschine sei auf Grund des ungenügenden technischen Standards für die professionelle Reinigung von Wäsche untauglich und damit für den bestimmungsgemässen Gebrauch offensichtlich nicht geeignet gewesen. Damit liege eine wesentliche Vertragsverletzung vor, welche gemäss Art. 49 Abs. 1 lit. a CISG die Aufhebung des Vertrages rechtfertigen könne. Diese Begründung dringt nicht durch, da die Beklagte entgegen ihrer Annahme den ungenügenden technischen Standard der Maschine nicht gerügt hat und demnach daraus keine Rechte ableiten kann (vgl. E. 4 hievor). Die von der Beklagten gerügten Vertragswidrigkeiten konnte sie abgesehen vom Fehlen der Imprägnierpumpe nicht nachweisen. Dass diese Vertragswidrigkeit eine wesentliche Verletzung darstelle, macht die Beklagte nicht geltend und ist auch nicht ersichtlich, weshalb ein Anspruch der Beklagten auf Aufhebung des Vertrages zu verneinen ist. Damit ist unerheblich, ob die Beklagte die Aufhebung des Vertrages rechtzeitig erklärt hat, was das Obergericht verneint hat. Auf die dagegen gerichtete Kritik der Beklagten ist daher mangels eines hinreichenden Rechtsschutzinteresses nicht einzutreten (vgl. BGE 122 III 279 E. 3a S. 282).</w:t>
      </w:r>
    </w:p>
    <w:p>
      <w:r>
        <w:rPr>
          <w:b/>
        </w:rPr>
        <w:t>E. 6.2</w:t>
      </w:r>
    </w:p>
    <w:p>
      <w:r>
        <w:t>Die sekundäre Forderung auf Minderung des Kaufpreises wies das Obergericht mit der Begründung ab, ein Minderwert der Maschine auf Grund der fehlenden Imprägnierpumpe könne nicht festgestellt werden, da die Maschine wegen ihres mangelnden Prototyp-Standards ohnehin wertlos gewesen sei. Inwiefern diese Erwägung Bundeszivilrecht verletzen soll, wird von der Beklagten nicht dargelegt und ist auch nicht ersichtlich. Damit ist der Eventualantrag auf Rückweisung der Streitsache zur Neufestsetzung des Minderwerts abzuweisen.</w:t>
      </w:r>
    </w:p>
    <w:p>
      <w:r>
        <w:rPr>
          <w:b/>
        </w:rPr>
        <w:t>E. 7</w:t>
      </w:r>
    </w:p>
    <w:p>
      <w:r>
        <w:t>Nach dem Gesagten ist die Berufung abzuweisen, soweit darauf einzutreten ist.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