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4C.189/2006 vom 4. August 2006</w:t>
      </w:r>
    </w:p>
    <w:p>
      <w:r>
        <w:t>Bundesgericht, 2006-08-04, DE</w:t>
      </w:r>
    </w:p>
    <w:p>
      <w:r>
        <w:rPr>
          <w:b/>
        </w:rPr>
        <w:t xml:space="preserve">Quelle: </w:t>
      </w:r>
      <w:r>
        <w:t>https://mcp.opencaselaw.ch/entscheid/bger_4C.189_2006</w:t>
      </w:r>
    </w:p>
    <w:p>
      <w:r>
        <w:t>FR: TF 4C.189/2006 du 4 août 2006</w:t>
      </w:r>
    </w:p>
    <w:p>
      <w:r>
        <w:t>IT: TF 4C.189/2006 del 4 agosto 2006</w:t>
      </w:r>
    </w:p>
    <w:p>
      <w:pPr>
        <w:pStyle w:val="Heading2"/>
      </w:pPr>
      <w:r>
        <w:t>Regeste</w:t>
      </w:r>
    </w:p>
    <w:p>
      <w:r>
        <w:t>Arbeitsvertrag; Kündigung | Vertragsrecht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126 III 10 E. 2b S. 13; 120 II 97 E. 2b S. 99; 119 II 84 E. 3, je mit Hinweisen). Der Kläger rügt, die Vorinstanz habe den Sachverhalt unvollständig festgestellt. Er verkennt die Tragweite von Art. 64 OG . Eine Ergänzung des Sachverhalts im Sinne dieser Bestimmung setzt voraus, dass Feststellungen zu Tatsachen überhaupt fehlen, welche nach der zutreffenden Interpretation einer Bundesrechtsnorm erheblich sind und daher für deren Anwendung zwingend der Feststellung bedürfen. Die Unvollständigkeit des Sachverhalts ergibt sich aus der zutreffenden, von derjenigen der Vorinstanz abweichenden Norminterpretation und ist Folge davon, dass gewisse Tatsachen nach der abweichenden Normauslegung der Vorinstanz zu Unrecht nicht abgeklärt bzw. festgestellt wurden, weil sie nach deren Normverständnis als unerheblich erschienen. Die Berufung steht dagegen zur Kritik der Tatsachenfeststellungen als solcher - unter Vorbehalt der Mängel im Sinne von Art. 63 Abs. 2 OG - nicht zur Verfügung. Der Sachverhalt kann nicht ergänzt werden, um der von der Vorinstanz zutreffend interpretierten Bundesrechtsnorm im Blick auf eine gegenteilige Sachentscheidung einen abweichenden Sachverhalt zugrundezulegen. Der Kläger kritisiert in unzulässiger Weise die Würdigung der Beweise durch die Vorinstanz, wenn er vorbringt, einzelne Beweismittel wie das E-mail vom 27. Dezember 2002 seien zu Unrecht nicht berücksichtigt oder falsch gewürdigt worden oder die Sachverhaltsfeststellungen vermittelten ein falsches Bild über die ihm gegenüber geäusserten Beanstandungen. Auf die Vorbringen unter dem Titel "Unvollständigkeit des Sachverhalts" ist nicht einzutreten.</w:t>
      </w:r>
    </w:p>
    <w:p>
      <w:r>
        <w:rPr>
          <w:b/>
        </w:rPr>
        <w:t>E. 2</w:t>
      </w:r>
    </w:p>
    <w:p>
      <w:r>
        <w:t>Gemäss Art. 328 OR hat der Arbeitgeber im Arbeitsverhältnis die Persönlichkeit des Arbeitnehmers zu achten und zu schützen, auf dessen Gesundheit gebührend Rücksicht zu nehmen und für die Wahrung der Sittlichkeit zu sorgen. Persönlichkeitsverletzend können insbesondere Weisungen sein, welche das angestammte Tätigkeitsfeld des Arbeitnehmers ohne triftige Gründe oder ohne dass dieser gehörig angehört worden ist beschränken und ihn insbesondere hierarchisch zurückstufen ( BGE 110 II 172 E. 2a S. 175, Streiff/von Kaenel, Arbeitsvertrag, 6. Aufl., N 14 zu Art. 328 OR ; Vischer, Der Arbeitsvertrag, in: Schweizerisches Privatrecht, Bd. VII/4,, Basel 2005, S. 169). Die Vorinstanz hat erkannt, dass die Rückversetzung des Klägers an die ihm ursprünglich zugewiesene, hierarchisch niedrigere Arbeitsstelle sachlich begründet war und dass dem Kläger die Gründe dafür wiederholt sowohl von seinen Untergegebenen direkt wie von seinen Vorgesetzten dargelegt wurden, so dass er bezüglich dieser Funktionsänderung nicht vor vollendete Tatsachen gestellt wurde. Der Kläger rügt zu Recht nicht, die Vorinstanz habe Art. 328 OR falsch ausgelegt, wenn sie danach die Zuweisung einer anderen, insbesondere auch einer hierarchisch niederen Funktion als zulässig erachtet, sofern dieser Entscheid sachlich begründet ist und den Arbeitnehmer nicht unvorbereitet trifft. Der Kläger kritisiert zunächst auch hier in unzulässiger Weise den Schluss der Vorinstanz, wonach er mündlich wiederholt auf sein fachliches Ungenügen und seine Führungsschwächen angesprochen worden ist. Soweit er die Zeugenaussagen anders würdigen will als die Vorinstanz im angefochtenen Entscheid, ist auf seine Vorbringen nicht einzutreten. Soweit er geltend macht, es genüge nicht, dass er mit den Gründen des fachlichen Ungenügens und der Führungsschwäche wiederholt anlässlich von Rapporten, Supervisionen, Einzelgesprächen und Kliniksitzungen mündlich konfrontiert worden sei, kann ihm nicht gefolgt werden. Seine Ansicht, dass er hätte schriftlich abgemahnt werden müssen, steht im Widerspruch zur allgemeinen Formfreiheit im Vertragsrecht ( Art. 11 OR ) und lässt sich für das auf gegenseitigem Vertrauen beruhende Arbeitsverhältnis nicht allgemein begründen. Es ist vielmehr erforderlich, aber auch hinreichend, dass dem Kläger die Gründe tatsächlich eröffnet worden sind, was hier nach den verbindlichen Feststellungen im angefochtenen Urteil geschehen ist. Auch dass dem Kläger eine bestimmte Bewährungsfrist hätte gesetzt werden müssen, kann nicht als allgemeine Voraussetzung einer - vom Arbeitnehmer als nachteilig empfundenen - Funktionsänderung verlangt werden. Soweit die sachlichen Gründe für die Zuweisung einer anderen Aufgabe im fachlichen oder persönlichen Ungenügen begründet sind, ist zwar zu verlangen, dass der Arbeitnehmer hinreichend klar auf die Notwendigkeit entsprechender Änderungen hingewiesen und ihm Gelegenheit zur Verbesserung seiner Leistungen oder seines Verhaltens gegeben wird, soweit jedenfalls eine Verbesserung nicht offensichtlich unmöglich oder der Arbeitnehmer dazu nicht bereit ist. Nach den Feststellungen im angefochtenen Urteil ist der Kläger hier jedoch über Monate immer wieder, sowohl von Untergebenen wie von Vorgesetzten, auf die Mängel seiner Amtsführung hingewiesen worden. Er konnte danach über die Notwendigkeit einer Verbesserung seiner Arbeitsleistung und seines Verhaltens in der Führung nicht im Zweifel sein und hätte insofern - wie die Vorinstanz zutreffend darlegt - tatsächlich auch die Möglichkeit zur Verbesserung seiner Arbeitsleistung gehabt. Die Vorinstanz hat Art. 328 OR zutreffend angewandt, wenn sie die vom Kläger behauptete Persönlichkeitsverletzung verneinte.</w:t>
      </w:r>
    </w:p>
    <w:p>
      <w:r>
        <w:rPr>
          <w:b/>
        </w:rPr>
        <w:t>E. 3</w:t>
      </w:r>
    </w:p>
    <w:p>
      <w:r>
        <w:t>Der Kläger war entsprechend seinem Arbeitsvertrag ab Mitte 2001 im Ambulatorium beschäftigt gewesen und er bringt nichts vor, das diese Arbeit als solche unzumutbar erscheinen lassen könnte. Die Zuweisung dieser Arbeit ab Februar 2003 durch die Beklagte war daher rechtmässig. Mit der Weigerung, diese Arbeit spätestens ab 7. April 2003 wieder auszuführen, hat der Kläger seine arbeitsvertraglichen Verpflichtungen verletzt. Die Beklagte war daher berechtigt, die Lohnzahlung zu verweigern. Die Vorinstanz hat die Lohnforderung des Klägers zu Recht abgewiesen.</w:t>
      </w:r>
    </w:p>
    <w:p>
      <w:r>
        <w:rPr>
          <w:b/>
        </w:rPr>
        <w:t>E. 4</w:t>
      </w:r>
    </w:p>
    <w:p>
      <w:r>
        <w:t>Die Kündigung eines Arbeitsverhältnisses ist nach Art. 336 Abs. 1 lit. d OR insbesondere missbräuchlich, wenn eine Partei sie ausspricht, weil die andere nach Treu und Glauben Ansprüche aus dem Arbeitsverhältnis geltend macht. Diese Formulierung präzisiert, dass nicht nur die Geltendmachung von tatsächlich bestehenden Ansprüchen gemeint ist, sondern auch von vermeintlichen Ansprüchen. Diesfalls muss aber der Arbeitnehmer wenigstens in guten Treuen daran geglaubt haben, dass seine Ansprüche bestehen ( BGE 123 III 246 E. 4d S. 253 f. mit Verweisen). Davon ist die Vorinstanz zutreffend ausgegangen. Sie hat verneint, dass der Kläger sich in guten Treuen gegen seine Rückversetzung an den angestammten Arbeitsplatz im Ambulatorium gewehrt hat, nachdem ihm die Gründe für diese Rückversetzung über Monate immer wieder vorgehalten wurden und er offensichtlich nicht bereit war, seinen allseits beanstandeten Führungsstil zu ändern und an seinen Unzulänglichkeiten zu arbeiten. Der Kläger kritisiert auch in diesem Zusammenhang vornehmlich in unzulässiger Weise die Beweiswürdigung der Vorinstanz, worauf nicht einzutreten ist. Soweit er unter Berufung auf Art. 3 Abs. 1 ZGB behauptet, er habe sich in guten Treuen gegen seine Rückversetzung gewehrt, kann ihm nicht gefolgt werden. Nachdem ihm nach den verbindlichen Feststellungen der Vorinstanz die Mängel seiner Funktionsausübung wiederholt und über Monate immer wieder vorgehalten wurden, ohne dass er eine Änderung seines Verhaltens zeigte, konnte er nicht in guten Treuen der Auffassung sein, er habe einen Rechtsanspruch auf weitere Ausübung der ärztlichen Leitung der Bettenstation des PZO. Dass ihm diese Gründe nicht schriftlich mitgeteilt und ihm keine ausdrückliche "Bewährungsfrist" gesetzt wurde, kann auch in diesem Zusammenhang nicht entscheidend sein.</w:t>
      </w:r>
    </w:p>
    <w:p>
      <w:r>
        <w:rPr>
          <w:b/>
        </w:rPr>
        <w:t>E. 5</w:t>
      </w:r>
    </w:p>
    <w:p>
      <w:r>
        <w:t>Aus diesen Gründen ist die Berufung abzuweisen, soweit auf sie eingetreten werden kann. Art. 343 Abs. 3 OR betreffend Kostenlosigkeit des Verfahrens kommt hier nicht zur Anwendung, da der massgebende Streitwert mehr als Fr. 30'000.-- beträgt. Dem Ausgang des Verfahrens entsprechend ist die Gerichtsgebühr dem Kläger aufzuerlegen ( Art. 156 Abs. 1 OG ). Dieser hat die Beklagte für das bundesgerichtliche Verfahren zu entschädigen ( Art. 159 Abs. 1 und 2 OG )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