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4C.189/2005 vom 17. November 2005</w:t>
      </w:r>
    </w:p>
    <w:p>
      <w:r>
        <w:t>Bundesgericht, 2005-11-17, FR</w:t>
      </w:r>
    </w:p>
    <w:p>
      <w:r>
        <w:rPr>
          <w:b/>
        </w:rPr>
        <w:t xml:space="preserve">Quelle: </w:t>
      </w:r>
      <w:r>
        <w:t>https://mcp.opencaselaw.ch/entscheid/bger_4C.189_2005</w:t>
      </w:r>
    </w:p>
    <w:p>
      <w:r>
        <w:t>FR: TF 4C.189/2005 du 17 novembre 2005</w:t>
      </w:r>
    </w:p>
    <w:p>
      <w:r>
        <w:t>IT: TF 4C.189/2005 del 17 novembre 2005</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Selon l'arrêt attaqué, les rapports de travail entre les parties ont pris fin le 31 décembre 2003 à la suite du licenciement signifié le 10 octobre 2003 à la demanderesse par le conseil du défendeur. La Chambre des recours a ainsi considéré que l'employée n'avait pas résilié le contrat de travail par actes concluants pour le terme correspondant à la fin de son congé maternité payé, soit le 31 juillet 2003.</w:t>
      </w:r>
    </w:p>
    <w:p>
      <w:r>
        <w:rPr>
          <w:b/>
        </w:rPr>
        <w:t>E. 2.2</w:t>
      </w:r>
    </w:p>
    <w:p>
      <w:r>
        <w:t>Dans son recours, le défendeur fait valoir que le comportement de la demanderesse jusqu'au 13 mai 2003 ne pouvait de bonne foi être interprété autrement que comme l'annonce d'une fin prochaine des rapports de travail. Il relève que l'assistante médicale avait clairement manifesté son intention de ne pas travailler après son accouchement, en tout cas à temps plein dans un lieu éloigné de son domicile. Le défendeur souligne que tous les témoins entendus ont compris que la demanderesse ne viendrait plus travailler après son accouchement et que la stagiaire la remplacerait. A ce sujet, il note que la demanderesse a collaboré activement et sans objection à la formation de celle qu'elle présentait comme sa remplaçante. Le défendeur reproche également à la cour cantonale d'avoir écarté du dossier deux pièces démontrant qu'en date du 28 février 2003, la demanderesse avait résilié, pour le 31 mai 2003, le bail à loyer de la place de stationnement qu'elle louait à proximité de son lieu de travail.</w:t>
      </w:r>
    </w:p>
    <w:p>
      <w:r>
        <w:rPr>
          <w:b/>
        </w:rPr>
        <w:t>E. 2.3</w:t>
      </w:r>
    </w:p>
    <w:p>
      <w:r>
        <w:t>Aux termes de l' art. 335 al. 1 CO , le contrat de travail de durée indéterminée peut être résilié par chacune des parties. La résiliation est une manifestation unilatérale de volonté, sujette à réception, par laquelle son auteur communique à son cocontractant sa volonté de mettre fin aux rapports de travail (arrêt 4C.151/2003 du 26 août 2003, consid. 4.1; Brunner/Bühler/Waeber/Bruchez, Commentaire du contrat de travail, 3e éd., p. 224). Sauf accord contraire, elle n'est pas subordonnée au respect d'une forme particulière. Elle peut être notifiée oralement, par écrit ou par actes concluants (Gabriel Aubert, Commentaire romand, n. 2 ad art. 335 CO ). Comme toute manifestation de volonté, elle est soumise aux règles d'interprétation déduites des art. 1er et 18 CO en matière de consentement et de clauses contractuels (cf. Engel, Traité des obligations en droit suisse, 2e éd., p. 239). En particulier, c'est à la lumière du principe de la confiance qu'il convient d'examiner si une résiliation est intervenue par actes concluants (cf. arrêt 4C.143/1999 du 24 août 1999, consid. 2a). D'après cette théorie, le juge doit rechercher comment une déclaration ou une attitude pouvait être comprise de bonne foi en fonction de l'ensemble des circonstances (interprétation dite objective; ATF 131 V 27 consid. 2.2 p. 29; 130 III 417 consid. 3.2 p. 424/425; 129 III 118 consid. 2.5, 702 consid. 2.4 p. 707). Les circonstances déterminantes sont celles qui ont précédé ou accompagné la manifestation de volonté ( ATF 131 III 377 consid. 4.2. p. 382 et l'arrêt cité), à l'exclusion des événements postérieurs (Bernard Corboz, Le contrat et le juge, in Le contrat dans tous ses états, Berne 2004, p. 275/276). L'application du principe de la confiance est une question de droit que le Tribunal fédéral, saisi d'un recours en réforme, peut examiner librement ( ATF 131 III 377 consid. 4.2.1 p. 382; 130 III 417 consid. 3.2 p. 425). Pour trancher cette question de droit, il faut cependant se fonder sur le contenu de la manifestation de volonté et sur les circonstances, lesquels relèvent du fait ( ATF 130 III 417 consid. 3.2 p. 425; 129 III 118 consid. 2.5; 128 III 419 consid. 2.2).</w:t>
      </w:r>
    </w:p>
    <w:p>
      <w:r>
        <w:rPr>
          <w:b/>
        </w:rPr>
        <w:t>E. 2.4</w:t>
      </w:r>
    </w:p>
    <w:p>
      <w:r>
        <w:t>En l'espèce, la demanderesse n'a pas manifesté par écrit une volonté de mettre un terme au contrat de travail à l'issue du congé maternité. Elle a déclaré oralement au défendeur, en janvier 2003, qu'elle n'avait pas l'intention de travailler à 100% après la naissance de son enfant, prévue pour juin 2003; elle a demandé une réduction de son taux d'activité à 60%. Le médecin a refusé et l'a invitée à préciser si elle entendait démissionner ou rester à plein temps à son service. La demanderesse a alors répondu qu'elle ne voulait pas travailler à 100%, mais qu'elle ne donnerait pas son congé pour éviter des sanctions de l'assurance-chômage. Même si l'employée n'a pas clairement opté pour l'un des termes de l'alternative posée, le défendeur ne pouvait, de bonne foi, comprendre une telle déclaration comme une démission, dès lors que la demanderesse affirmait expressément qu'elle ne résiliait pas le contrat de travail.</w:t>
      </w:r>
    </w:p>
    <w:p>
      <w:r>
        <w:t>Pour le reste, aucun des autres éléments avancés par le défendeur n'autorisait celui-ci à conclure de bonne foi que la demanderesse avait mis fin aux rapports de travail pour l'échéance correspondant au terme du congé maternité payé. Le fait que l'employée avait résilié pour le 31 mai 2003 le bail de la place de stationnement qu'elle louait à proximité du cabinet médical - résiliation que le médecin ne prétend même pas avoir connue - ne saurait à l'évidence valoir manifestation d'une volonté de résilier le contrat de travail adressée au défendeur. De même, on ne voit pas en quoi le mensonge reproché à la demanderesse - qui a déclaré dans le courrier du 18 août 2003 de son assureur de protection juridique qu'elle ignorait la fermeture du cabinet qui lui avait pourtant été annoncée avant son départ par la stagiaire - peut être compris d'une quelconque manière comme un congé. Quant aux témoins, plusieurs d'entre eux ont certes déclaré que la demanderesse leur avait dit qu'elle ne voulait plus travailler pour le défendeur après la naissance de son enfant, A.________ étant trop éloigné de son domicile. Adressées à des tiers, ces déclarations sont toutefois dénuées de toute pertinence pour juger d'une éventuelle résiliation par actes concluants. En bonne logique, le principe de la confiance interdit en effet au défendeur de se prévaloir du sens objectif d'une déclaration dont il n'est pas le destinataire (cf. arrêt 4C.374/2004 du 13 avril 2005, consid. 4.2; arrêt 4C.341/2003 du 25 mars 2004, consid. 2.1.2 et la référence). Enfin, en soi, la collaboration de la demanderesse avec la personne censée la remplacer ne peut non plus manifestement être comprise de bonne foi comme une résiliation unilatérale du contrat de travail par actes concluants.</w:t>
      </w:r>
    </w:p>
    <w:p>
      <w:r>
        <w:t>En conclusion, la cour cantonale n'a pas méconnu les règles d'interprétation du droit fédéral en refusant de voir dans le comportement de la demanderesse un congé manifesté par actes concluants. Le premier moyen du recours est mal fondé.</w:t>
      </w:r>
    </w:p>
    <w:p>
      <w:r>
        <w:rPr>
          <w:b/>
        </w:rPr>
        <w:t>E. 3.1</w:t>
      </w:r>
    </w:p>
    <w:p>
      <w:r>
        <w:t>Faute de résiliation émanant de la demanderesse pour le 31 juillet 2003, les rapports de travail ont pris fin le 31 décembre 2003, à la suite du licenciement notifié par le conseil du défendeur dans son courrier du 10 octobre 2003. Les juges cantonaux en ont déduit sans autre que la demanderesse avait droit à son salaire jusqu'à la fin de l'année 2003.</w:t>
      </w:r>
    </w:p>
    <w:p>
      <w:r>
        <w:rPr>
          <w:b/>
        </w:rPr>
        <w:t>E. 3.2</w:t>
      </w:r>
    </w:p>
    <w:p>
      <w:r>
        <w:t>Le défendeur reproche à la Chambre des recours d'avoir omis d'examiner si la demanderesse était disposée à offrir une prestation conforme au contrat, condition indispensable pour que l'employeur tombe en demeure au sens de l' art. 324 CO . A son avis, il ne suffit pas de prouver l'offre de services; encore faut-il démontrer que les prestations ainsi offertes sont conformes au contrat passé entre les parties. Comme il serait établi que la demanderesse ne voulait travailler qu'à temps partiel après la naissance de son enfant, son offre de services ne serait pas conforme à ses engagements contractuels, de sorte que l'employeur ne serait pas tombé en demeure en août 2003 et n'aurait pas à verser une quelconque rémunération jusqu'à fin décembre 2003.</w:t>
      </w:r>
    </w:p>
    <w:p>
      <w:r>
        <w:rPr>
          <w:b/>
        </w:rPr>
        <w:t>E. 3.3</w:t>
      </w:r>
    </w:p>
    <w:p>
      <w:r>
        <w:t>A partir d'août 2003, la demanderesse n'a plus fourni sa prestation de travail. Selon la définition du contrat de travail, le paiement d'un salaire par l'employeur implique la fourniture de services par le travailleur ( art. 319 al. 1 CO ). Par conséquent, la demanderesse, qui ne se trouvait alors pas dans l'un des cas visés par l' art. 324a CO , ne peut prétendre être rémunérée que si le défendeur était lui-même en demeure. La cour cantonale aurait donc dû aborder cette question avant d'allouer à la demanderesse son salaire d'août à décembre 2003.</w:t>
      </w:r>
    </w:p>
    <w:p>
      <w:r>
        <w:t>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clairement offert ses services ( ATF 115 V 437 consid. 5a p. 444; arrêt 4C.230/2005 du 1er septembre 2005, consid. 3.1; arrêt 4C.331/2001 du 12 février 2002, consid. 4c, reproduit in ARV/DTA 2002, p. 87; arrêt 4C.383/1992 du 23 octobre 1992, consid. 3c, reproduit in SJ 1993, p. 365). En outre, même si cette condition n'est pas expressément mentionnée dans la loi, la demeure du créancier implique que le débiteur soit en mesure et prêt à exécuter sa prestation telle que prévue dans le contrat («Leistungsbereitschaft») ( ATF 111 II 463 consid. 5a p. 469; arrêt 4C.276/1996 du 15 septembre 1997, consid. 5b/cc; cf. également consid. 5d non publié de l' ATF 120 II 365 et arrêt 4C.280/1992 du 26 janvier 1993, consid. 2b, reproduit in SJ 1995, p. 788; Denis Loertscher, Commentaire romand, n. 15 ad art. 91 CO ; Martin Bernet, Basler Kommentar, 3e éd., n. 8 ad remarques introductives aux art. art. 91-96 CO et n. 6 ad art. 91 CO ; Rolf H. Weber, Berner Kommentar, n. 79ss ad art. 91 CO ; Marius Schraner, Zürcher Kommentar, n. 60ss ad art. 91 CO ). Cette exigence doit être réalisée aussi longtemps que l'intéressé entend continuer à se prévaloir des règles sur la demeure, y compris lorsqu'il peut se dispenser d'offrir ses services, par exemple en cas de faillite (arrêt précité du 15 septembre 1997, consid. 5b/cc).</w:t>
      </w:r>
    </w:p>
    <w:p>
      <w:r>
        <w:rPr>
          <w:b/>
        </w:rPr>
        <w:t>E. 3.4</w:t>
      </w:r>
    </w:p>
    <w:p>
      <w:r>
        <w:t>Comme la cour cantonale ne s'est pas prononcée sur la demeure de l'employeur, il convient d'examiner si, sur la base de l'état de fait de l'arrêt attaqué et du jugement de première instance auquel les juges cantonaux se réfèrent expressément, la cour de céans est en mesure de trancher cette question.</w:t>
      </w:r>
    </w:p>
    <w:p>
      <w:r>
        <w:t>Il ressort tout d'abord des constatations cantonales qu'à l'issue de son congé maternité payé, la demanderesse a fait une offre de services écrite et s'est présentée sur son lieu de travail. La première condition pour que la travailleuse puisse se prévaloir de la demeure est ainsi réalisée.</w:t>
      </w:r>
    </w:p>
    <w:p>
      <w:r>
        <w:t>Cependant, on peut éprouver quelques doutes sur le caractère réel de cette offre dont, au demeurant, la demanderesse savait que le défendeur ne pourrait y donner suite puisqu'elle était au courant de la fermeture du cabinet médical. En effet, il résulte des faits établis en instance cantonale que, de janvier à mai 2003, la demanderesse a exprimé à plusieurs reprises sa volonté de ne pas reprendre son emploi à plein temps chez le défendeur après son congé maternité. En janvier 2003, elle a déclaré par deux fois à son employeur qu'elle ne voulait pas travailler à 100% après la naissance de son enfant. Par la suite, elle n'a pas protesté lors de la venue d'une stagiaire censée la remplacer; au contraire, elle la présentait à des tiers comme la personne qui lui succéderait. Elle n'a pas non plus réagi lorsqu'elle a appris la fermeture prochaine du cabinet médical. En outre, elle a déclaré à plusieurs témoins qu'elle ne voulait plus travailler pour le défendeur après son accouchement, notamment en raison de la distance séparant A.________ de son domicile. Enfin, la demanderesse a résilié pour le 31 mai 2003 le bail de la place de stationnement qu'elle louait dans les environs du cabinet du défendeur. Certes, la cour cantonale a formellement écarté du dossier les pièces attestant cette résiliation du contrat. Il n'en demeure pas moins qu'au considérant 4.3d de son arrêt, la Chambre des recours a expressément mentionné le fait que la demanderesse avait «résilié le bail de sa place de parc le 28 février 2003, pour le 31 mai 2003» en se référant aux «pièces produites avec le mémoire d'intimé». Il faut donc en conclure que ledit fait est établi.</w:t>
      </w:r>
    </w:p>
    <w:p>
      <w:r>
        <w:t>Tous ces éléments démontrent que, jusqu'en mai 2003, la demanderesse n'avait pas la volonté et n'était pas prête à reprendre son emploi chez le défendeur au terme de son congé maternité, conformément à ses engagements contractuels.</w:t>
      </w:r>
    </w:p>
    <w:p>
      <w:r>
        <w:t>Cela étant, il n'est pas totalement exclu que des circonstances particulières l'ait fait changer d'avis deux mois et demi plus tard, au moment où elle a offert ses services. La cour de céans ne dispose toutefois pas des éléments de fait nécessaires à ce sujet. Dans ces conditions, il y a lieu d'admettre le recours, d'annuler l'arrêt attaqué et de renvoyer la cause à la cour cantonale afin qu'elle complète les faits ( art. 64 al. 1 OJ ) et détermine si, au début août 2003, la demanderesse voulait effectivement reprendre son activité à plein temps au service du défendeur et se trouvait en situation de l'accomplir. On rappellera à cet égard que, selon la jurisprudence, il n'existe pas de présomption de fait en ce qui concerne la capacité et la volonté de travailler de la femme qui a accouché à l'expiration de son droit au salaire (arrêt précité du 15 septembre 1997, consid. 5b/cc in fine; consid. 5d non publié de l' ATF 120 II 365 ).</w:t>
      </w:r>
    </w:p>
    <w:p>
      <w:r>
        <w:rPr>
          <w:b/>
        </w:rPr>
        <w:t>E. 4</w:t>
      </w:r>
    </w:p>
    <w:p>
      <w:r>
        <w:t>Comme la valeur litigieuse, selon les prétentions de la demanderesse à l'ouverture de l'action ( ATF 115 II 30 consid. 5b p. 41), ne dépasse pas 30'000 fr., la procédure est gratuite ( art. 343 al. 2 et 3 CO ). Pour le reste, le défendeur obtient l'annulation de l'arrêt attaqué et le renvoi de la cause à l'autorité cantonale. Cependant, dès lors que l'issue du litige est encore incertaine, la demanderesse versera des dépens réduits au défendeur ( art. 159 al. 1 OJ ). Quant à l'intervenante, qui n'a pas pris position sur le recours, elle ne saurait être condamnée à payer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