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4C.189/2003 vom 23. September 2003</w:t>
      </w:r>
    </w:p>
    <w:p>
      <w:r>
        <w:t>Bundesgericht, 2003-09-23, FR</w:t>
      </w:r>
    </w:p>
    <w:p>
      <w:r>
        <w:rPr>
          <w:b/>
        </w:rPr>
        <w:t xml:space="preserve">Quelle: </w:t>
      </w:r>
      <w:r>
        <w:t>https://mcp.opencaselaw.ch/entscheid/bger_4C.189_2003</w:t>
      </w:r>
    </w:p>
    <w:p>
      <w:r>
        <w:t>FR: TF 4C.189/2003 du 23 septembre 2003</w:t>
      </w:r>
    </w:p>
    <w:p>
      <w:r>
        <w:t>IT: TF 4C.189/2003 del 23 settembre 2003</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art. 452 CPC vaud.) sur une contestation civile (cf. ATF 129 III 301 consid. 1.2.2 et les références citées) dont la valeur litigieuse atteint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 défenderesse semble perdre de vue ces principes, dès lors qu'à l'appui des violations du droit fédéral invoquées, elle n'hésite pas à présenter sa propre version des événements, qui diffère de celle retenue dans l'arrêt attaqué, ce qui n'est pas admissible. La Cour de céans n'examinera donc les griefs soulevés qu'à la lumière des faits constatés par la chambre des recours.</w:t>
      </w:r>
    </w:p>
    <w:p>
      <w:r>
        <w:rPr>
          <w:b/>
        </w:rPr>
        <w:t>E. 2</w:t>
      </w:r>
    </w:p>
    <w:p>
      <w:r>
        <w:t>Parallèlement à la violation de dispositions figurant dans le CO, la défenderesse se prévaut d'une application arbitraire du droit fédéral. Saisi d'un recours en réforme, le Tribunal fédéral est chargé de vérifier que l'autorité inférieure a correctement mis en oeuvre le droit fédéral (cf. art. 43 OJ ), ce qui comprend, a fortiori, l'application arbitraire de celui-ci (Poudret, COJ II, 2e éd. Berne 1990, art. 43 OJ no 1.6.3). Par conséquent, les critiques de la défenderesse tendant à démontrer que la chambre des recours a appliqué le droit fédéral de manière insoutenable sont superflues, la Cour de céans contrôlant de toute manière librement cette question dans la présente procédure.</w:t>
      </w:r>
    </w:p>
    <w:p>
      <w:r>
        <w:rPr>
          <w:b/>
        </w:rPr>
        <w:t>E. 3</w:t>
      </w:r>
    </w:p>
    <w:p>
      <w:r>
        <w:t>Contrairement au tribunal de première instance, la chambre des recours a admis l'existence d'un licenciement abusif. Les juges ont relevé en substance que le contrat de travail de la demanderesse avait été résilié en raison de sa forte personnalité, ce qui n'était du reste pas contesté, et que le comportement et le caractère de celle-ci ont été incontestablement l'une des causes du malaise qui est apparu au sein de l'équipe. Toutefois, la demanderesse ne pouvait être déclarée seule responsable de la façon dont le climat de travail s'était progressivement dégradé et les circonstances ne permettaient pas de conclure que la défenderesse avait pris les mesures nécessaires pour aplanir les conflits.</w:t>
      </w:r>
    </w:p>
    <w:p>
      <w:r>
        <w:rPr>
          <w:b/>
        </w:rPr>
        <w:t>E. 4</w:t>
      </w:r>
    </w:p>
    <w:p>
      <w:r>
        <w:t>La défenderesse considère qu'en admettant l'existence d'un licenciement abusif, la chambre des recours a violé les art. 328 et 336 ss CO .</w:t>
      </w:r>
    </w:p>
    <w:p>
      <w:r>
        <w:rPr>
          <w:b/>
        </w:rPr>
        <w:t>E. 4.1</w:t>
      </w:r>
    </w:p>
    <w:p>
      <w:r>
        <w:t>Selon le principe posé à l' art. 335 al. 1 CO , un contrat de travail de durée indéterminée peut être résilié librement par chacune des parties moyennant respect du délai de congé contractuel ou légal, sous réserve d'abus (cf. ATF 127 III 86 consid. 2a p. 88). En droit suisse prévaut donc la liberté du licenciement, ce qui signifie que, pour être conforme au droit, une résiliation n'a en principe pas besoin de reposer sur un motif particulier, sauf cas d'abus ( ATF 125 III 70 consid. 2a p. 72 et les références citées). Un congé est abusif lorsqu'il est donné pour un motif qui figure à l' art. 336 CO , mais cette énumération n'est pas exhaustive ( ATF 125 III 70 consid. 2a p. 72; 123 III 246 consid. 3b p. 251 et les références citées; confirmé au consid. 3b non publié de l' ATF 128 III 129 , traduit in SJ 2002 I 396). Les motifs de la résiliation relèvent du fait et lient par conséquent le Tribunal fédéral saisi d'un recours en réforme ( art. 63 al. 2 OJ ; ATF 127 III 86 consid. 2a p. 88 et l'arrêt cité).</w:t>
      </w:r>
    </w:p>
    <w:p>
      <w:r>
        <w:rPr>
          <w:b/>
        </w:rPr>
        <w:t>E. 4.2</w:t>
      </w:r>
    </w:p>
    <w:p>
      <w:r>
        <w:t>La chambre des recours a retenu que le congé donné à la demanderesse était abusif au sens de l' art. 336 al. 1 let. a CO . Selon cette disposition, le congé est abusif lorsqu'il est donné par une partie pour une raison inhérente à la personnalité de l'autre partie, à moins que cette raison n'ait un lien avec le rapport de travail ou ne porte sur un point essentiel un préjudice grave au travail dans l'entreprise. Une norme juridique doit être interprétée en premier lieu selon sa lettre. Lorsque son sens littéral est clair et univoque, l'autorité qui doit l'appliquer est en principe liée ( ATF 129 II 353 consid. 3.3). En l'occurrence, il ressort expressément du texte de l' art. 336 al. 1 let. a CO que, pour que le congé puisse être qualifié d'abusif, deux conditions cumulatives doivent être réalisées : il faut d'une part qu'il ait été donné pour une raison inhérente à la personnalité de l'autre partie et, d'autre part, que cette raison n'ait pas un lien avec le rapport de travail ou ne porte pas sur un point essentiel un préjudice grave au travail dans l'entreprise ( ATF 127 III 86 consid. 2a p. 88). Cette double exigence, imposée par le législateur, a pour résultat que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(cf. ATF 127 III 86 consid. 2b p. 88; 125 III 70 consid. 2c p. 74). On peut d'ailleurs se demander, s'agissant de difficultés relationnelles survenant dans le cadre du travail, si les deux conditions de l' art. 336 al. 1 let. a CO ne sont pas antinomiques, dès lors qu'il paraît difficile de concevoir qu'un salarié soit licencié en raison de ses traits de caractère, sans que ceux-ci n'aient de lien avec le rapport de travail ou ne portent un préjudice grave au travail dans l'entreprise. La présente cause en donne d'ailleurs une nouvelle illustration, puisqu'il a été constaté que la demanderesse a été congédiée en raison de sa forte personnalité, mais qu'il ressort également de l'arrêt attaqué que le comportement et le caractère de celle-ci ont été incontestablement l'une des causes du malaise et de la dégradation du climat de travail au sein de l'équipe des aides-infirmières. Il apparaît ainsi que, même si la demanderesse n'a pas été la seule responsable de la situation, son caractère difficile et son comportement, à l'origine de son licenciement, avaient à tout le moins un lien avec le rapport de travail, voire portaient sur un point essentiel un préjudice grave au travail dans l'entreprise, eu égard à l'importance du travail d'équipe dans un établissement hospitalier. La chambre des recours ne pouvait donc, sans violer le droit fédéral, retenir un licenciement abusif au sens de l' art. 336 al.1 let. a CO .</w:t>
      </w:r>
    </w:p>
    <w:p>
      <w:r>
        <w:rPr>
          <w:b/>
        </w:rPr>
        <w:t>E. 5</w:t>
      </w:r>
    </w:p>
    <w:p>
      <w:r>
        <w:t>Le Tribunal fédéral, saisi d'un recours en réforme, n'étant pas lié par l'argumentation juridique retenue par l'autorité cantonale ( art. 63 al. 3 OJ ; ATF 129 III 124 consid. 8; 128 III 22 consid. 2e/cc p. 29), il convient de se demander si le caractère abusif du licenciement ne pourrait pas être retenu sur une autre base, attendu que les situations énumérées à l' art. 336 CO ne sont pas exhaustives (cf. supra consid. 4.1).</w:t>
      </w:r>
    </w:p>
    <w:p>
      <w:r>
        <w:rPr>
          <w:b/>
        </w:rPr>
        <w:t>E. 5.1</w:t>
      </w:r>
    </w:p>
    <w:p>
      <w:r>
        <w:t>La jurisprudence récente considère que, s'il est établi qu'une situation conflictuelle sur le lieu du travail, due au caractère difficile d'un employé, nuit notablement au travail en commun dans l'entreprise, le congé donné à celui-ci n'est pas abusif (arrêt du Tribunal fédéral non publié du 18 décembre 2001 dans la cause 4C.253/2001 consid. 2b), à condition toutefois que l'employeur ait pris toutes les mesures que l'on pouvait attendre de lui pour désamorcer le conflit ( ATF 125 III 70 consid. 2c p. 74, confirmé in arrêts du Tribunal fédéral non publiés 4C.274/2002 du 5 novembre 2002 consid. 2.1; du 18 décembre 2001 précité consid. 2c; 4C.121/2001 du 16 octobre 2001 consid. 3d/bb). Cette exigence repose sur l' art. 328 al. 1 CO selon lequel l'employeur a le devoir de protéger et de respecter, dans les rapports de travail, la personnalité de ses travailleurs (Rehbinder, Commentaire bernois, art. 328 CO no 4; Streiff/von Kaenel, Leitfaden zum Arbeitsvertragsrecht, 5e éd. Zurich 1992, art. 328 CO no 7; cf. arrêt du 5 novembre 2002 précité consid. 2.1). L'abus réside dans le fait que l'employeur exploite la propre violation de ses devoirs contractuels (cf. ATF 125 III 70 consid. 2a p. 73). En effet, après avoir laissé une situation conflictuelle s'envenimer parmi ses salariés sans prendre les mesures adéquates pour l'atténuer, contrairement à l' art. 328 al. 1 CO , celui-ci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 art. 328 CO . Elle peut donc être revue dans le cadre d'un recours en réforme.</w:t>
      </w:r>
    </w:p>
    <w:p>
      <w:r>
        <w:rPr>
          <w:b/>
        </w:rPr>
        <w:t>E. 5.2</w:t>
      </w:r>
    </w:p>
    <w:p>
      <w:r>
        <w:t>Comme il l'a déjà été relevé, la résiliation a été prononcée en raison du caractère difficile et du comportement de la demanderesse vis-à-vis de ses collègues, qui a été incontestablement l'une des causes du malaise apparu au sein de l'équipe des aides-infirmières et de la dégradation du climat de travail. Pour que le congé donné dans ces circonstances soit abusif, il faut que l'employeur n'ait pas pris toutes les mesures que l'on pouvait attendre de lui pour désamorcer le conflit. La chambre des recours a considéré que tel était le cas en l'espèce, ce que conteste la défenderesse. Il convient donc d'examiner cette question sur la base des constatations cantonales.</w:t>
      </w:r>
    </w:p>
    <w:p>
      <w:r>
        <w:rPr>
          <w:b/>
        </w:rPr>
        <w:t>E. 5.3</w:t>
      </w:r>
    </w:p>
    <w:p>
      <w:r>
        <w:t>Selon l'arrêt attaqué, la défenderesse avait déjà prié la demanderesse d'améliorer son attitude vis-à-vis de ses collègues dans son rapport d'évaluation de 1995. Les 13 octobre et 24 novembre 2000, la responsable de l'équipe d'aides-infirmières dans laquelle était affectée la demanderesse a organisé deux colloques, afin que le personnel puisse s'expliquer sur les tensions ressenties dans les rapports de travail. Un entretien d'appréciation et de développement personnel de la demanderesse a eu lieu le 13 février 2001, dans lequel la défenderesse s'est dite insatisfaite des prestations de son employée et lui a accordé un délai de trois mois pour "apprendre à travailler en équipe et à communiquer de manière adéquate". Sans changement vérifiable sur le terrain, l'employeur a indiqué qu'il ne voyait pas d'avenir possible pour la demanderesse, qui a finalement été licenciée le 18 mai 2001. Sorti de son contexte, l'enchaînement de ces événements tendrait à démontrer que l'employeur a bien pris toutes les mesures nécessaires pour tenter de remédier à la situation, avant de résilier le contrat de travail de la demanderesse. On ne peut toutefois faire abstraction des circonstances particulières qui, en l'occurrence, ont accompagné ces mesures. Ainsi, les demandes d'amélioration faites en 1995 à la demanderesse n'ont pas été reprises dans le rapport d'évaluation de 1998 et il n'a pas été constaté que celle-ci ait causé des difficultés à son employeur sans discontinuer depuis cette époque. Le premier colloque du 13 octobre 2000 a été organisé par la responsable de l'équipe dans le but d'examiner le comportement de chacun, alors que la demanderesse était en vacances, ce qui était prévu de longue date. La responsable a accusé à cette occasion la demanderesse de mobbing, sans que celle-ci n'ait pu se défendre. Il a été retenu que la demanderesse avait été très choquée par l'utilisation de ce terme, auquel certaines intervenantes s'étaient du reste opposées. Il en découle que la tenue de cette première séance ne représente à l'évidence pas une mesure propre à atténuer les conflits liés au comportement de la demanderesse, bien au contraire, elle n'a pu qu'accroître les ressentiments de l'employée évincée. Quant à la seconde séance du 24 novembre 2000, elle a permis de confirmer que, si le comportement et le caractère de la demanderesse ont été incontestablement l'une des causes des tensions au sein de l'équipe, celle-ci n'en était pas la seule responsable. Il existait aussi d'autres causes à ce malaise, d'ailleurs qualifié de généralisé par la responsable, en particulier des conflits entre d'autres collègues. En affirmant l'inverse à l'appui de son recours, la défenderesse s'écarte de manière inadmissible des faits retenus (cf. supra consid. 1.2). De plus, il ne ressort pas du procès-verbal du colloque du 24 novembre 2000, reproduit en intégralité dans l'arrêt entrepris, que cette séance ait débouché sur des mesures concrètes ou sur des propositions de nature à améliorer l'ambiance au sein de l'équipe. La responsable a seulement prié la demanderesse d'être attentive à son attitude et à son comportement, en déclarant qu'il s'agissait d'un "travail de prise de conscience". Enfin, à propos du rapport d'évaluation du 13 février 2001 impartissant à la demanderesse un délai pour s'améliorer, les juges cantonaux ont souligné à juste titre qu'il était difficilement admissible qu'un tel rapport ait été établi par la responsable de l'équipe qui avait organisé le premier colloque en l'absence de la demanderesse et avait accusé celle-ci de mobbing, alors qu'elle ne pouvait se défendre. Sous cet angle, une telle injonction n'était pas de nature à apaiser la demanderesse, qui a du reste mis en cause l'objectivité des critiques formulées à son encontre. De plus, en ne s'adressant qu'à la demanderesse, on ne voit pas que l'employeur ait contribué à aplanir les difficultés qualifiées de généralisées dans l'équipe. Mais surtout, il ressort de l'arrêt attaqué qu'à l'expiration du délai de trois mois fixé dans ce rapport, le congé a été signifié à la demanderesse, sans qu'il n'ait été vérifié si des améliorations étaient intervenues. Dans un tel contexte, il faut admettre que l'on se trouve dans un cas limite. Les circonstances entourant les mesures effectuées par l'employeur permettent cependant de confirmer la position de la chambre des recours selon laquelle celui-ci n'a pas fait tout ce que l'on pouvait attendre de lui pour désamorcer la situation conflictuelle régnant dans l'équipe et dont l'employée licenciée n'était pas la seule responsable. En retenant l'existence d'une résiliation abusive, l'arrêt attaqué ne contrevient donc pas au droit fédéral. Il n'y a ainsi pas lieu de se demander si le congé aurait également pu être considéré comme abusif pour un autre motif, ce que soutient la demanderesse dans sa réponse.</w:t>
      </w:r>
    </w:p>
    <w:p>
      <w:r>
        <w:rPr>
          <w:b/>
        </w:rPr>
        <w:t>E. 5.4</w:t>
      </w:r>
    </w:p>
    <w:p>
      <w:r>
        <w:t>Quant à l'indemnité allouée par la chambre des recours en application de l' art. 336a CO , elle n'est pas remise en cause dans la présente procédure, de sorte que ce point ne sera pas revu (art. 55 al. 1 let. b et c OJ). Le recours doit par conséquent être rejeté.</w:t>
      </w:r>
    </w:p>
    <w:p>
      <w:r>
        <w:rPr>
          <w:b/>
        </w:rPr>
        <w:t>E. 6</w:t>
      </w:r>
    </w:p>
    <w:p>
      <w:r>
        <w:t>Comme la valeur litigieuse, selon les prétentions de la demanderesse à l'ouverture de l'action ( ATF 115 II 30 consid. 5b; 100 II 358 consid. a), dépasse 30'000 fr., la procédure n'est pas gratuite ( art. 343 al. 2 et 3 CO ). 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