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4C.187/2003 vom 21. November 2003</w:t>
      </w:r>
    </w:p>
    <w:p>
      <w:r>
        <w:t>Bundesgericht, 2003-11-21, FR</w:t>
      </w:r>
    </w:p>
    <w:p>
      <w:r>
        <w:rPr>
          <w:b/>
        </w:rPr>
        <w:t xml:space="preserve">Quelle: </w:t>
      </w:r>
      <w:r>
        <w:t>https://mcp.opencaselaw.ch/entscheid/bger_4C.187_2003</w:t>
      </w:r>
    </w:p>
    <w:p>
      <w:r>
        <w:t>FR: TF 4C.187/2003 du 21 novembre 2003</w:t>
      </w:r>
    </w:p>
    <w:p>
      <w:r>
        <w:t>IT: TF 4C.187/2003 del 21 novembre 2003</w:t>
      </w:r>
    </w:p>
    <w:p>
      <w:pPr>
        <w:pStyle w:val="Heading2"/>
      </w:pPr>
      <w:r>
        <w:t>Regeste</w:t>
      </w:r>
    </w:p>
    <w:p>
      <w:r>
        <w:t>Assurance responsabilité civile</w:t>
      </w:r>
    </w:p>
    <w:p>
      <w:pPr>
        <w:pStyle w:val="Heading2"/>
      </w:pPr>
      <w:r>
        <w:t>Erwägungen</w:t>
      </w:r>
    </w:p>
    <w:p>
      <w:r>
        <w:rPr>
          <w:b/>
        </w:rPr>
        <w:t>E. 1.1</w:t>
      </w:r>
    </w:p>
    <w:p>
      <w:r>
        <w:t>La Cour de justice a statué que l'action intentée par le demandeur était irrecevable devant les juridictions genevoises pour cause d'incompétences locale et matérielle, en application de la CL, subsidiairement de l' art. 133 LDIP . S'agissant de normes de droit fédéral sur la compétence, qui incluent d'ailleurs les règles sur l'immunité de juridiction reconnue aux Etats étrangers, susceptibles d'entrer aussi en ligne de compte dans le cas particulier ( ATF 124 III 382 consid. 2a in fine p. 386 et les arrêts cités), leur violation peut donc donner lieu à un recours en réforme ( art. 43 al. 1 OJ ). Déniant la compétence locale et matérielle des juridictions genevoises, la cour cantonale a exclu définitivement que la même action puisse être introduite entre les mêmes parties devant les tribunaux de ce canton, rendant par-là une décision finale, qui est à ce titre sujette à recours ( ATF 115 II 237 consid. 1b; Bernard Corboz, Le recours en réforme au Tribunal fédéral, in SJ 2000 II p. 11). A l'inverse d'ailleurs, si la cour cantonale avait admis la compétence des tribunaux genevois, il se fût agi d'une décision incidente sur la compétence ( ATF 126 III 327 consid. 1c et les références), également susceptible d'un recours en réforme immédiat ( art. 49 al. 1 et art. 48 al. 3 OJ ).</w:t>
      </w:r>
    </w:p>
    <w:p>
      <w:r>
        <w:rPr>
          <w:b/>
        </w:rPr>
        <w:t>E. 1.2</w:t>
      </w:r>
    </w:p>
    <w:p>
      <w:r>
        <w:t>Dans un recours en réforme, qui ne doit pas être confondu avec un recours cassatoire, le recourant ne doit pas se borner à demander l'annulation de la décision attaquée, mais il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125 III 412 consid. 1b; 111 II 384 consid. 1; 106 II 201 consid. 1). En l'espèce, les constatations cantonales sont insuffisantes pour permettre au Tribunal fédéral de statuer lui-même sur le fond de l'action en responsabilité, que la cour cantonale n'a pas abordé. Dans ces conditions, les conclusions formulées par le demandeur sont admissibles.</w:t>
      </w:r>
    </w:p>
    <w:p>
      <w:r>
        <w:rPr>
          <w:b/>
        </w:rPr>
        <w:t>E. 1.3</w:t>
      </w:r>
    </w:p>
    <w:p>
      <w:r>
        <w:t>Eu égard à la valeur litigieuse, de 15'800 fr., le recours en réforme est en principe recevable puisqu'il dépasse le seuil de 8'000 fr. fixé à l' art. 46 OJ ; de plus, il a été formé en temps utile ( art. 54 al. 1 OJ ) et dans les formes requises ( art. 55 OJ ).</w:t>
      </w:r>
    </w:p>
    <w:p>
      <w:r>
        <w:rPr>
          <w:b/>
        </w:rPr>
        <w:t>E. 1.4</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Le demandeur fait tout d'abord grief à la cour cantonale d'avoir écarté l'applicabilité de l' art. 5 ch. 3 CL et d'avoir ignoré l' art. 129 al. 2 LDIP , au motif que l'action en responsabilité ouverte à Genève contre la juge d'instruction espagnole relevait du droit public. De plus, la cour cantonale n'est pas entrée en matière sur l'exception d'immunité de juridiction, avancée à l'appui de l'appel.</w:t>
      </w:r>
    </w:p>
    <w:p>
      <w:r>
        <w:rPr>
          <w:b/>
        </w:rPr>
        <w:t>E. 2.1</w:t>
      </w:r>
    </w:p>
    <w:p>
      <w:r>
        <w:t>Même si elle ne relève pas de l'ordre public, la question de l'immunité de juridiction, que le juge ne peut pas soulever d'office mais qu'il doit trancher lorsqu'elle est invoquée, doit être examinée d'entrée de cause, avant de procéder sur le fond ( ATF 124 III 382 consid. 3b p. 387 et les références), ceci d'autant plus que le Tribunal fédéral n'est pas lié par les motifs que les parties plaident, à teneur de l' art. 63 al. 1 OJ , et qu'il peut adopter une autre argumentation juridique que celle retenue par la cour cantonale. L'Etat souverain, disposant de la personnalité juridique de droit international, est le titulaire par excellence des immunités de l'Etat étranger (Jolanta Kren Kostkiewicz, Staatenimmunität im Erkenntnis- und im Vollstreckungsverfahren nach schweizerischem Recht, Berne 1998, p. 348) qui présentent deux aspects, l'immunité de juridiction et l'immunité d'exécution, cette dernière étant en général la simple conséquence de l'autre ( ATF 124 III 382 consid. 4a in fine p. 389). Les immunités de l'Etat sont destinées à garantir le respect de sa souveraineté lorsque ses agents, sa législation ou ses biens sont en rapport direct avec la souveraineté territoriale d'un autre Etat. L'absence de toute hiérarchie entre les Etats exclut que l'un d'entre eux soit soumis à des actes d'autorité, y compris juridictionnels, d'un autre Etat, conformément à la maxime selon laquelle "par in parem non habet jurisdictionem", les immunités étant une exception au principe de la souveraineté territoriale (Patrick Daillier/Alain Pellet, Droit international public, 7e éd., Paris 2002, p. 450/451; Alfred Verdross/Bruno Simma, Universelles Völkerrecht, Theorie und Praxis, 3e éd., Berlin 1984, § 1168 p. 763). Comme l'Etat étranger agit par l'intermédiaire de ses organes, qui ne possèdent pas eux-mêmes la personnalité juridique de droit international, le comportement de ces derniers est imputé à l'Etat lui-même, qu'il s'agisse d'un ministère, d'un département, d'un office, d'une représentation diplomatique ou encore d'autres entités dépendantes de l'Etat (Kren Kostkiewicz, op. cit., p. 350). Aujourd'hui, l'immunité de juridiction est comprise selon la théorie de l'immunité restreinte, qui n'est garantie qu'en rapport à des actes de souveraineté (jure imperii), l'Etat étranger ne pouvant se soustraire aux tribunaux pour ce qui concerne ses actes de gestion (jure gestionis), telle que l'a reconnue pour la première fois la Cour de cassation de Belgique en 1903 (Joe Verhoeven, Droit international public, Bruxelles 2000, p. 736/737; Verdross/Simma, op. cit., § 1169 p. 763/764; Emmanuel Decaux, Droit international public, 3e éd., Paris 2002, n. 352 p. 291; Pierre-Marie Dupuy, Droit international public, 5e éd., Paris 2000, n. 115 p. 115; Beatrice Brandenberg Brandl, Direkte Zuständigkeit der Schweiz im internationalen Schuldrecht, Thèse St-Gall 1991, p. 56/57; Jean-François Egli, L'immunité des Etats étrangers et de leurs agents dans la jurisprudence du Tribunal fédéral, in Centenaire de la LP, Zurich 1989, p. 206). Dès 1918, le Tribunal fédéral s'est rallié à cette conception restreinte ou restrictive de l'immunité des Etats, le critère de la nature intrinsèque de l'opération envisagée étant déterminant pour savoir si l'acte fondant la créance litigieuse relève de la puissance publique ou s'il s'agit d'un rapport juridique inscrit dans une activité économique privée, l'Etat étranger intervenant par ses organes dans cette dernière au même titre qu'un particulier ( ATF 124 III 382 consid. 4a p. 388/389 et les références; Müller/Wildhaber, Praxis des Völkerrechts, 3e éd., Berne 2001, p. 444/445; Malcolm N. Shaw, International law, 4e éd., Cambridge 1997, p. 500/501). Agissant au nom de l'Etat étranger, les organes bénéficient de l'immunité de juridiction dans l'Etat du for lorsqu'ils accomplissent, dans leur fonction, des actes de souveraineté à l'occasion desquels une action en justice dirigée contre eux doit être considérée comme une action dirigée contre leur propre Etat (Verdross/Simma, op. cit., § 1177 p. 773). Ainsi, à côté de l'immunité de juridiction traditionnellement reconnue au personnel diplomatique et consulaire, (Kren Kostkiewicz, op. cit., p. 76 ss) ainsi qu'aux chefs d'Etats et autres membres de gouvernements (Kren Kostkiewicz, op. cit., p. 90 ss), le cercle des bénéficiaires de l'immunité d'Etat s'élargit. En effet, il arrive que l'immunité soit accordée même quand l'action n'est pas directement engagée contre l'Etat en son nom propre, mais contre le gouvernement d'un Etat souverain, contre le souverain, contre le chef d'Etat ou contre l'un des organes, ministère ou département du gouvernement, ou contre ses organes subsidiaires, voire contre des organismes ou des institutions de l'Etat, en raison d'actes accomplis dans l'exercice des prérogatives de la puissance publique (Sompong Sucharitkul, L'immunité des Etats, in Droit international, Bilan et perspectives, t.1, Paris 1991, p. 347 ss, 351/352). En ce qui concerne l'immunité des Etats étrangers, et singulièrement l'immunité de juridiction, il faut donc entendre par "Etat étranger", outre la personne étatique elle-même, toute autorité devant être considérée comme un démembrement de l'Etat, délégataire ou dépositaire des fonctions qu'il entend exercer, en application directe de ses compétences en tant qu'Etat souverain, au bénéfice de sa "puissance publique", pour reprendre une terminologie du droit interne (Pierre-Marie Dupuy, op. cit., n. 115 p. 115, déjà cité). Seuls sont exclus de l'immunité les agents intervenant secrètement à l'étranger au service d'un Etat, par exemple pour fait d'espionnage (Verdross/Simma, op. cit., § 1177 p. 773/774, note 52) ou d'homicide intentionnel (Ignaz Seidl-Hohenveldern, L'immunité de juridiction et d'exécution des Etats et des organisations internationales, in Droit international 1, Paris 1981, p. 113 ss, 114).</w:t>
      </w:r>
    </w:p>
    <w:p>
      <w:r>
        <w:rPr>
          <w:b/>
        </w:rPr>
        <w:t>E. 2.2</w:t>
      </w:r>
    </w:p>
    <w:p>
      <w:r>
        <w:t>En l'espèce, la défenderesse, en sa qualité de juge d'instruction espagnole, est chargée de conduire une procédure pénale pour prévention de soustraction de mineurs au sens des art. 223 et 226 du Code pénal espagnol, contre le demandeur, dans le ressort judiciaire du Tribunal de Z.________. A cette occasion, la juge d'instruction a décerné un mandat d'arrêt international qui a ensuite donné lieu à la diffusion d'une demande d'arrestation en vue d'extradition visant le demandeur. Ainsi, la juge d'instruction de Z.________ a exercé, dans le cadre de ses compétences, un acte d'autorité exprimant en cette matière la souveraineté de l'Espagne, en procédant conformément à la Convention européenne d'extradition du 13 décembre 1957 (CEExtr; RS 0.353.1), à laquelle le Royaume d'Espagne et la Confédération suisse sont parties. La délivrance du mandat d'arrêt international est caractéristiquement un acte d'un magistrat espagnol exerçant dans son domaine et à son niveau la puissance publique du Royaume d'Espagne; à ce titre, la juge d'instruction n'est susceptible de rendre compte de l'exercice de ses fonctions qu'à ce dernier. Dans ce sens, en vertu du principe d'égalité des Etats et de l'absence de hiérarchie entre eux, il n'y a pas lieu de soumettre à un tribunal suisse le contrôle des agissements d'une juge d'instruction espagnole dans l'accomplissement des tâches de droit public que lui a confiées l'Etat espagnol. La juge d'instruction, ayant agi comme délégataire de la souveraineté du Royaume d'Espagne dans le domaine de la répression des infractions et de l'application des codes pénal et de procédure pénale, peut invoquer avec succès le principe de l'immunité de juridiction à l'égard de l'Etat du for, dans la mesure où l'action en responsabilité civile introduite devant les tribunaux genevois contre elle touche en fait le fonctionnement de la justice pénale de l'Espagne et la jurisprudence de ce pays. Il s'ensuit que la Chambre civile de la Cour de justice de Genève était fondée à déclarer irrecevable l'action ouverte par le demandeur contre la juge d'instruction espagnole, défenderesse, de sorte que l'arrêt cantonal du 16 mai 2003 sera confirmé.</w:t>
      </w:r>
    </w:p>
    <w:p>
      <w:r>
        <w:rPr>
          <w:b/>
        </w:rPr>
        <w:t>E. 2.3</w:t>
      </w:r>
    </w:p>
    <w:p>
      <w:r>
        <w:t>Le présent arrêt ne porte que sur la compétence matérielle et locale des juridictions genevoises. Il ne préjuge pas d'une action que le demandeur déciderait d'introduire en Espagne.</w:t>
      </w:r>
    </w:p>
    <w:p>
      <w:r>
        <w:rPr>
          <w:b/>
        </w:rPr>
        <w:t>E. 3</w:t>
      </w:r>
    </w:p>
    <w:p>
      <w:r>
        <w:t>Vu l'issue du litige, le demandeur est condamné au paiement d'un émolument ( art. 156 al. 1 OJ ) ainsi qu'à celui d'une indemnité à titre de dépens ( art. 159 al. 2 OJ ) en faveur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