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4C.187/2000 vom 6. April 2001</w:t>
      </w:r>
    </w:p>
    <w:p>
      <w:r>
        <w:t>Bundesgericht, 2001-04-06, FR</w:t>
      </w:r>
    </w:p>
    <w:p>
      <w:r>
        <w:rPr>
          <w:b/>
        </w:rPr>
        <w:t xml:space="preserve">Quelle: </w:t>
      </w:r>
      <w:r>
        <w:t>https://mcp.opencaselaw.ch/entscheid/bger_4C.187_2000</w:t>
      </w:r>
    </w:p>
    <w:p>
      <w:r>
        <w:t>FR: TF 4C.187/2000 du 6 avril 2001</w:t>
      </w:r>
    </w:p>
    <w:p>
      <w:r>
        <w:t>IT: TF 4C.187/2000 del 6 aprile 2001</w:t>
      </w:r>
    </w:p>
    <w:p>
      <w:pPr>
        <w:pStyle w:val="Heading2"/>
      </w:pPr>
      <w:r>
        <w:t>Erwägungen</w:t>
      </w:r>
    </w:p>
    <w:p>
      <w:r>
        <w:rPr>
          <w:b/>
        </w:rPr>
        <w:t>E. 1</w:t>
      </w:r>
    </w:p>
    <w:p>
      <w:r>
        <w:t>La cour cantonale a jugé que le gérant de l'établissement a tenu des propos grossiers constitutifs de harcèlement sexuel, dont la défenderesse répond.</w:t>
      </w:r>
    </w:p>
    <w:p>
      <w:r>
        <w:t>La défenderesse conteste que ses propos aient été discriminatoires, car ils s'adressaient tant à la clientèle qu'au personnel, quel que fût son sexe. En outre, la cour cantonale aurait mal constaté les faits et violé les règles fédérales relatives au fardeau de la preuve. Enfin, elle aurait méconnu que la demanderesse a consenti aux atteintes incriminées.</w:t>
      </w:r>
    </w:p>
    <w:p>
      <w:r>
        <w:rPr>
          <w:b/>
        </w:rPr>
        <w:t>E. 2</w:t>
      </w:r>
    </w:p>
    <w:p>
      <w:r>
        <w:t>a) L'employeur doit avoir les égards voulus pour la santé des femmes et veiller à la sauvegarde de la moralité ( art. 33 al. 1 LTr ; RS 822. 11).</w:t>
      </w:r>
    </w:p>
    <w:p>
      <w:r>
        <w:t>Il est interdit de discriminer les travailleurs à raison du sexe ( art. 3 al. 1 LEg ; RS 151. 1).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art. 4 LEg ).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 ( art. 5 al. 3 LEg ). Elle n'excédera pas le montant correspondant à six mois de salaire ( art. 5 al. 4 LEg ).</w:t>
      </w:r>
    </w:p>
    <w:p>
      <w:r>
        <w:t>Selon la jurisprudence, les remarques sexistes et les commentaires grossiers ou embarrassants entrent dans la définition du harcèlement sexuel. Bien que les exemples cités à l' art. 4 LEg ne se réfèrent qu'à des cas d'abus d'autorité, la définition englobe tout comportement importun de caractère sexuel, soit également ceux qui contribuent à rendre le climat de travail hostile, par exemple des plaisanteries déplacées ( ATF 126 III 395 consid. 7 b/bb et les références).</w:t>
      </w:r>
    </w:p>
    <w:p>
      <w:r>
        <w:t>b) La cour cantonale a constaté définitivement que le gérant de la défenderesse traitait la demanderesse de "salope, connasse, sale pute" et disait des femmes qu'elles étaient toutes des salopes. Elle a également retenu que le comportement d'un client, voire du gérant, qui est une fois sorti des toilettes les pantalons baissés, démontre quel mépris des femmes régnait dans l'établissement.</w:t>
      </w:r>
    </w:p>
    <w:p>
      <w:r>
        <w:t>Quoi que prétende la défenderesse, la nature sexiste de ces propos est évidente. De tels propos tenus régulièrement devant la clientèle et le personnel, ainsi qu'une telle attitude, ne pouvaient être ressentis par la demanderesse que comme une atteinte grave à sa dignité de femme. D'ailleurs, comme l'atteste un certificat médical, la demanderesse en a été atteinte dans sa santé.</w:t>
      </w:r>
    </w:p>
    <w:p>
      <w:r>
        <w:t>Le grief ne peut qu'être rejeté.</w:t>
      </w:r>
    </w:p>
    <w:p>
      <w:r>
        <w:rPr>
          <w:b/>
        </w:rPr>
        <w:t>E. 3</w:t>
      </w:r>
    </w:p>
    <w:p>
      <w:r>
        <w:t>La défenderesse reproche à la cour cantonale de s'être écartée sur certains points des faits retenus par les premiers juges.</w:t>
      </w:r>
    </w:p>
    <w:p>
      <w:r>
        <w:t>Ce faisant, elle formule des critiques irrecevables dans le cadre du recours en réforme ( art. 55 al. 1 let . c OJ).</w:t>
      </w:r>
    </w:p>
    <w:p>
      <w:r>
        <w:rPr>
          <w:b/>
        </w:rPr>
        <w:t>E. 4</w:t>
      </w:r>
    </w:p>
    <w:p>
      <w:r>
        <w:t>La défenderesse fait grief à la cour cantonale d'avoir violé les règles de droit fédéral relatives au fardeau de la preuve. Il suffit toutefois de lire la motivation du grief pour se convaincre que, sous ce couvert, la défenderesse s'en prend en réalité à la constatation des faits par la cour cantonale. Comme on l'a vu, le grief est irrecevable.</w:t>
      </w:r>
    </w:p>
    <w:p>
      <w:r>
        <w:rPr>
          <w:b/>
        </w:rPr>
        <w:t>E. 5</w:t>
      </w:r>
    </w:p>
    <w:p>
      <w:r>
        <w:t>La défenderesse soutient que la demanderesse a consenti aux atteintes infligées par le gérant, de sorte que la salariée ne pourrait prétendre à aucune indemnité.</w:t>
      </w:r>
    </w:p>
    <w:p>
      <w:r>
        <w:t>Un tel consentement ne ressort nullement des faits constatés par la cour cantonale. D'ailleurs, la brièveté des rapports de travail montre que la demanderesse n'acceptait pas l'atmosphère que lui imposait l'employeur.</w:t>
      </w:r>
    </w:p>
    <w:p>
      <w:r>
        <w:t>Le grief doit être rejeté, sans qu'il soit nécessaire d'examiner si la salariée peut renoncer valablement à la protection contre le harcèlement sexuel, découlant de la loi sur l'égalité.</w:t>
      </w:r>
    </w:p>
    <w:p>
      <w:r>
        <w:rPr>
          <w:b/>
        </w:rPr>
        <w:t>E. 6</w:t>
      </w:r>
    </w:p>
    <w:p>
      <w:r>
        <w:t>Le montant de l'indemnité fixée par la cour cantonale (un peu moins de deux mois du salaire moyen suisse) n'est pas contesté.</w:t>
      </w:r>
    </w:p>
    <w:p>
      <w:r>
        <w:t>Au demeurant, les critères pris en compte par la Chambre des recours sont pleinement convaincants.</w:t>
      </w:r>
    </w:p>
    <w:p>
      <w:r>
        <w:rPr>
          <w:b/>
        </w:rPr>
        <w:t>E. 7</w:t>
      </w:r>
    </w:p>
    <w:p>
      <w:r>
        <w:t>Selon l' art. 12 al. 2 LEg , l' art. 343 CO est applicable indépendamment de la valeur litigieuse. En application de l' art. 343 al. 3 CO , la demanderesse n'aura pas à supporter les frais de la procédure fédérale, encore que son recours soit à la limite de la témérité. En revanche, elle devra verser des dépens à la demanderesse, conformément à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