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4C.185/2006 vom 19. Oktober 2006</w:t>
      </w:r>
    </w:p>
    <w:p>
      <w:r>
        <w:t>Bundesgericht, 2006-10-19, FR</w:t>
      </w:r>
    </w:p>
    <w:p>
      <w:r>
        <w:rPr>
          <w:b/>
        </w:rPr>
        <w:t xml:space="preserve">Quelle: </w:t>
      </w:r>
      <w:r>
        <w:t>https://mcp.opencaselaw.ch/entscheid/bger_4C.185_2006</w:t>
      </w:r>
    </w:p>
    <w:p>
      <w:r>
        <w:t>FR: TF 4C.185/2006 du 19 octobre 2006</w:t>
      </w:r>
    </w:p>
    <w:p>
      <w:r>
        <w:t>IT: TF 4C.185/2006 del 19 ottobre 2006</w:t>
      </w:r>
    </w:p>
    <w:p>
      <w:pPr>
        <w:pStyle w:val="Heading2"/>
      </w:pPr>
      <w:r>
        <w:t>Erwägungen</w:t>
      </w:r>
    </w:p>
    <w:p>
      <w:r>
        <w:rPr>
          <w:b/>
        </w:rPr>
        <w:t>E. 1.1</w:t>
      </w:r>
    </w:p>
    <w:p>
      <w:r>
        <w:t>Interjeté par la partie qui a succombé dans ses conclusions condamnatoires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2 e phrase OJ) ou pour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II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w:t>
      </w:r>
    </w:p>
    <w:p>
      <w:r>
        <w:rPr>
          <w:b/>
        </w:rPr>
        <w:t>E. 2</w:t>
      </w:r>
    </w:p>
    <w:p>
      <w:r>
        <w:t>Invoquant une violation de l' art. 337 CO , la recourante prétend que le vol d'une somme extrêmement minime, soit 50 fr., ne saurait justifier un licenciement immédiat, sans avertissement préalable lorsque sont en cause de très longs rapports de travail, à savoir 17 ans de bons et loyaux services. Elle fait ensuite valoir que l'intimée aurait tardé à signifier le congé litigieux.</w:t>
      </w:r>
    </w:p>
    <w:p>
      <w:r>
        <w:rPr>
          <w:b/>
        </w:rPr>
        <w:t>E. 2.1</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la violation d'une obligation découlant du contrat de travail, comme l'obligation de loyauté ou de discrétion ou celle d'offrir sa prestation de travail ( ATF 127 III 351 consid. 4a), mais d'autres incidents peuvent aussi justifier un congé sans délai (cf. ATF 129 III 380 consid. 2.2). Une infraction pénale commise au détriment de l'employeur constitue, en principe, un motif justifiant le licenciement immédiat du travailleur ( ATF 117 II 560 consid. 3b). Il en va de même pour une infraction commise au détriment de tiers, notamment lorsqu'elle est susceptible de porter atteinte à la réputation de l'entreprise (arrêt 4C.271/1995 du 22 février 1996, consid. 3b, in JAR 1997 p. 201/202).</w:t>
      </w:r>
    </w:p>
    <w:p>
      <w:r>
        <w:t>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2.2</w:t>
      </w:r>
    </w:p>
    <w:p>
      <w:r>
        <w:t>En l'occurrence, la cour cantonale a retenu que, nonobstant la longue durée des rapports de travail, un vol au détriment d'un patient est d'autant plus inacceptable pour l'employeur que la recourante assumait un rôle important en tant que veilleuse de nuit, garante du bien-être et de la sécurité des patients, lesquels, compte tenu de la situation, sont dans un état de dépendance particulière.</w:t>
      </w:r>
    </w:p>
    <w:p>
      <w:r>
        <w:t>Une telle motivation ne souffre d'aucune critique et s'inscrit parfaitement dans la jurisprudence du Tribunal fédéral sanctionnant les travailleurs auteurs de délits pénaux. Il est au demeurant certain que le vol commis par la recourante dans le cadre de son activité professionnelle avait nécessairement pour conséquence de ruiner le rapport de confiance que suppose une relation de travail. Ce rapport de confiance était en l'espèce d'autant plus important que la demanderesse exerçait son activité de garde la nuit, de manière indépendante, et tenait un rôle de "leader" dans l'équipe en charge du 3ème étage de la clinique. En d'autres termes, elle jouissait d'une large liberté d'action que l'intimée ne lui avait conférée qu'en raison de la grande confiance qu'elle lui témoignait. A cet égard, la recourante ne peut tirer aucun argument du fait que le vol a porté sur une somme d'argent peu élevée. Le montant dérobé dépendait ici avant tout du contenu du porte-monnaie piégé. On peut encore ajouter que la décision de la demanderesse de ne pas s'emparer de tout l'argent du porte-monnaie avait vraisemblablement pour but de ne pas attirer l'attention sur le vol, ce qui ne constitue nullement un élément à décharge de l'intéressée.</w:t>
      </w:r>
    </w:p>
    <w:p>
      <w:r>
        <w:t>Au vu de ces circonstances, la longue durée des rapports de travail - à laquelle la cour cantonale a expressément fait référence - ne pouvait excuser le comportement de l'employée. On ne discerne pas non plus pourquoi ce grave manquement aux obligations de fidélité du travailleur ( art. 321a al. 1 CO ) aurait mérité un simple avertissement, comme le suggère la recourante sans développer sur ce point une argumentation juridique véritable.</w:t>
      </w:r>
    </w:p>
    <w:p>
      <w:r>
        <w:rPr>
          <w:b/>
        </w:rPr>
        <w:t>E. 2.3</w:t>
      </w:r>
    </w:p>
    <w:p>
      <w:r>
        <w:t>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 ATF 130 III 28 ibidem). Dans un contexte spécial, ce délai peut même être porté à une semaine, par exemple pour recueillir l'approbation des organes d'une personne morale (arrêt 4C.291/2005 du 13 décembre 2005, consid. 3.2 et les références doctrinales).</w:t>
      </w:r>
    </w:p>
    <w:p>
      <w:r>
        <w:t>En l'espèce, c'est le mercredi 5 mars 2003 que la recourante a été confondue par le produit révélateur qui se trouvait sur ses mains. Au vu de ses dénégations et des accusations qu'elle a portées à l'encontre d'une autre employée, celle-ci a été soumise à un examen de ses mains le jeudi 6 mars. Dès lors, le licenciement du lundi 10 mars 2003 est intervenu à l'intérieur du délai de trois jours ouvrables que prescrit la jurisprudence.</w:t>
      </w:r>
    </w:p>
    <w:p>
      <w:r>
        <w:t>Le recours, d'une indéniable témérité, doit être rejeté.</w:t>
      </w:r>
    </w:p>
    <w:p>
      <w:r>
        <w:rPr>
          <w:b/>
        </w:rPr>
        <w:t>E. 3</w:t>
      </w:r>
    </w:p>
    <w:p>
      <w:r>
        <w:t>Bien qu'elle ait trait à un différend relevant du contrat de travail, la procédure fédérale n'est pas gratuite en l'occurrence, puisque la valeur litigieuse déterminante, calculée au moment du dépôt de la demande (ATF 115 Il 30 consid. 5b), dépasse le plafond de 30'000 fr. fixé à l' art. 343 al. 2 CO .</w:t>
      </w:r>
    </w:p>
    <w:p>
      <w:r>
        <w:t>Compte tenu de l'issue du litige, la recourante supportera l'émolument de justice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