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4C.184/2005 vom 4. Mai 2006</w:t>
      </w:r>
    </w:p>
    <w:p>
      <w:r>
        <w:t>Bundesgericht, 2006-05-04, FR</w:t>
      </w:r>
    </w:p>
    <w:p>
      <w:r>
        <w:rPr>
          <w:b/>
        </w:rPr>
        <w:t xml:space="preserve">Quelle: </w:t>
      </w:r>
      <w:r>
        <w:t>https://mcp.opencaselaw.ch/entscheid/bger_4C.184_2005</w:t>
      </w:r>
    </w:p>
    <w:p>
      <w:r>
        <w:t>FR: TF 4C.184/2005 du 4 mai 2006</w:t>
      </w:r>
    </w:p>
    <w:p>
      <w:r>
        <w:t>IT: TF 4C.184/2005 del 4 maggio 2006</w:t>
      </w:r>
    </w:p>
    <w:p>
      <w:pPr>
        <w:pStyle w:val="Heading2"/>
      </w:pPr>
      <w:r>
        <w:t>Erwägungen</w:t>
      </w:r>
    </w:p>
    <w:p>
      <w:r>
        <w:rPr>
          <w:b/>
        </w:rPr>
        <w:t>E. 1.1</w:t>
      </w:r>
    </w:p>
    <w:p>
      <w:r>
        <w:t>Interjeté par la partie qui a succombé dans ses conclusions libératoires et dirigé contre un arrêt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dans les formes requises ( art. 55 OJ ).</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être présenté de griefs contre les constatations de fait, ni de faits ou de moyens de preuve nouveaux ( art. 55 al. 1 let . c OJ). Le recours n'est pas ouvert pour se plaindre de l'appréciation des preuves et des constatations de fait qui en découlent ( ATF 130 III 102 consid. 2.2 in fine, 136 consid. 1.4; 129 III 618 consid. 3).</w:t>
      </w:r>
    </w:p>
    <w:p>
      <w:r>
        <w:rPr>
          <w:b/>
        </w:rPr>
        <w:t>E. 1.2</w:t>
      </w:r>
    </w:p>
    <w:p>
      <w:r>
        <w:t>Le Tribunal fédéral ne saurait aller au-delà des conclusions des parties, qui ne peuvent en prendre de nouvelles ( art. 55 al. 1 let. b OJ ), mais il n'est pas lié par les motifs qu'elles invoquent ( art. 63 al. 1 OJ ), ni par l'argumentation juridique retenue par la cour cantonale ( art. 63 al. 3 OJ ; ATF 130 III 136 consid. 1.4; 128 III 22 consid. 2e/cc in fine). Le Tribunal fédéral peut donc admettre un recours pour d'autres motifs que ceux invoqués par le recourant; il peut aussi rejeter un recours en opérant une substitution de motifs, c'est-à-dire en adoptant une autre argumentation juridique que celle retenue par la cour cantonale ( ATF 130 III 136 consid. 1.4 in fine).</w:t>
      </w:r>
    </w:p>
    <w:p>
      <w:r>
        <w:rPr>
          <w:b/>
        </w:rPr>
        <w:t>E. 2</w:t>
      </w:r>
    </w:p>
    <w:p>
      <w:r>
        <w:t>Dans l'arrêt entrepris, la cour cantonale a considéré que les conclusions prises par la demanderesse sur appel incident, tendant uniquement au paiement par la défenderesse d'une somme d'argent et non à la restitution des meubles, étaient irrecevables en tant que telles, faute d'avoir été soumises au premier juge. Toutefois, la Cour de justice, eu égard en particulier au mémoire d'appel incident de la demanderesse, a admis que la question de la quotité du préjudice pouvait être examinée.</w:t>
      </w:r>
    </w:p>
    <w:p>
      <w:r>
        <w:t>L'autorité cantonale, à l'instar du premier juge, a retenu que les parties avaient conclu le 14 décembre 2001 un contrat mixte, qui combinait des prestations relevant du contrat de commission et du contrat de dépôt. Considérant que Y.________ SA s'était régulièrement inquiétée du sort de ses meubles, que X.________ SA avait encore fait une proposition d'achat à la demanderesse après l'échéance du délai de garde initialement prévu et que la défenderesse avait facturé des frais de dépôt pour la période du 31 juillet 2002 au 31 janvier 2003, la cour cantonale a jugé que la convention, après son échéance, avait été tacitement prolongée pour une durée indéterminée. Elle en a déduit que la défenderesse restait donc tenue par l'obligation de remettre, à la demande de sa partie adverse, les meubles déposés ou alors, si le mobilier n'était pas retrouvé, de réparer le dommage causé.</w:t>
      </w:r>
    </w:p>
    <w:p>
      <w:r>
        <w:t>A propos de la fixation du préjudice, les magistrats genevois ont déclaré que le premier juge ne s'était pas substitué à un expert pour déterminer la valeur des meubles, ainsi que l'affirmait la défenderesse, mais qu'il avait arrêté le dommage en équité, conformément à l' art. 42 al. 2 CO . Niant tout à la fois que les meubles se soient dépréciés après leur mise en dépôt auprès de la défenderesse et que le mobilier ait été proposé à la vente à un prix trop élevé, les juges cantonaux ont admis que les valeurs indiquées dans la convention du 14 décembre 2001 devaient être retenues comme éléments du dommage subi par la demanderesse à supposer que les meubles ne puissent lui être restitués, ce qui les a conduits à retenir à titre de préjudice non 16'535 fr. comme le Tribunal de première instance, mais 23'547 fr. Ces magistrats ont en revanche confirmé que les frais de transport engagés par la demanderesse n'étaient pas en relation de causalité avec la violation des obligations contractuelles imputées à la défenderesse.</w:t>
      </w:r>
    </w:p>
    <w:p>
      <w:r>
        <w:rPr>
          <w:b/>
        </w:rPr>
        <w:t>E. 3</w:t>
      </w:r>
    </w:p>
    <w:p>
      <w:r>
        <w:t>La recourante affirme liminairement ne plus remettre en cause le dispositif de l'arrêt déféré en tant qu'il l'a condamnée à restituer à l'intimée les meubles litigieux et déclare donc ne faire porter son recours que sur la fixation du dommage pour non-restitution dudit mobilier.</w:t>
      </w:r>
    </w:p>
    <w:p>
      <w:r>
        <w:t>Dans son premier moyen, la recourante prétend que les juges cantonaux ont à tort fait application de l' art. 42 al. 2 CO pour déterminer le préjudice que pourrait subir la demanderesse. A en croire la défenderesse, le montant du dommage allégué par l'intimée, qui correspond à la valeur des meubles disparus, pouvait être aisément établi par expertise, mode de preuve dont l'administration pouvait être exigée de la demanderesse. Le dommage en question n'était pas impossible ou très difficile à établir. L'intimée ayant échoué à apporter la preuve du préjudice en raison d'une carence qui lui est imputable, la Cour de justice, conformément à l' art. 42 al. 1 CO , aurait dû rejeter les conclusions de l'intimée en paiement de la contre-valeur des meubles.</w:t>
      </w:r>
    </w:p>
    <w:p>
      <w:r>
        <w:t>A l'appui de son second moyen, qui pour partie n'est qu'une réplique du premier, la recourante fait valoir que la cour cantonale a méconnu la notion juridique du dommage. La défenderesse allègue qu'en retenant les montants indiqués dans les conventions de juillet et décembre 2001, les magistrats genevois se sont fondés sur une valeur convenue, et non sur la valeur objective ou vénale des différents meubles, alors que seule celle-ci, à supposer qu'elle ait été constatée, aurait pu déterminer le dommage. La défenderesse souligne qu'en cas de disparition totale d'une chose, le préjudice équivaut à la valeur de remplacement de cette chose. Or les conventions précitées n'avaient pas pour fin de chiffrer un potentiel dommage, poursuit la recourante, mais contenaient des valeurs purement subjectives.</w:t>
      </w:r>
    </w:p>
    <w:p>
      <w:r>
        <w:rPr>
          <w:b/>
        </w:rPr>
        <w:t>E. 4.1</w:t>
      </w:r>
    </w:p>
    <w:p>
      <w:r>
        <w:t>Il convient d'emblée de prendre acte que la recourante admet désormais qu'elle était tenue, par les conventions signées en juillet 2001 et décembre 2001, de restituer à l'intimée l'ensemble des meubles que cette dernière lui avait confiés afin que, moyennant un droit de commission, ces objets fussent vendus à des tiers pour le compte de la demanderesse. Il n'y a pas lieu de revenir là-dessus (art. 55 al. 1 let. b et c OJ).</w:t>
      </w:r>
    </w:p>
    <w:p>
      <w:r>
        <w:t>Le présent litige est ainsi circonscrit à la question de la détermination de la réparation qui est due à la demanderesse pour le dommage que lui causerait la défenderesse si cette dernière, dont la faute est présumée, violait son obligation de restituer le mobilier ( art. 97 al. 1 CO ).</w:t>
      </w:r>
    </w:p>
    <w:p>
      <w:r>
        <w:rPr>
          <w:b/>
        </w:rPr>
        <w:t>E. 4.2.1</w:t>
      </w:r>
    </w:p>
    <w:p>
      <w:r>
        <w:t>Il résulte de l' art. 8 CC , dont l' art. 42 al. 1 CO - applicable en matière de responsabilité contractuelle par le renvoi de l' art. 99 al. 3 CO - n'est qu'une reprise, que le lésé doit prouver le dommage. Il lui appartient d'établir non seulement l'existence mais encore le montant du préjudice ( ATF 122 III 219 consid. 3a p. 222).</w:t>
      </w:r>
    </w:p>
    <w:p>
      <w:r>
        <w:t>Il existe toutefois des situations où l'application stricte de cette règle fédérale de preuve est susceptible d'empêcher ou de paralyser l'application du droit matériel. Le législateur a ainsi édicté l' art. 42 al. 2 CO , qui introduit un allégement du fardeau de la preuve, en ce sens que le dommage peut être déterminé équitablement par le juge, qu'il s'agisse de le chiffrer ou de retenir son existence (cf. Franz Werro, Commentaire romand, n. 24 ad art. 42 CO ; François Chaix, La fixation du dommage par le juge ( art. 42 al. 2 CO ), ch. 22 et 23, p. 46/47, in: Le préjudice, une notion en devenir, Journée de la responsabilité civile 2004, Genève 2005).</w:t>
      </w:r>
    </w:p>
    <w:p>
      <w:r>
        <w:t>Le juge ne peut recourir à l' art. 42 al. 2 CO que si le préjudice est absolument impossible à chiffrer (atteinte à l'avenir économique de personnes exerçant une activité non rémunérée, défaut purement esthétique, etc.,), si la preuve de la quotité du dommage est impossible à apporter parce que les éléments de preuve n'ont pas été conservés par le lésé ou ont été détruits et, enfin, si l'administration de la preuve du dommage ne peut raisonnablement être exigée du demandeur en raison d'une disproportion entre le coût de celle-ci et le montant du dommage ( ATF 105 II 87 consid. 3; Roland Brehm, Commentaire bernois, n. 47 s. ad art. 42 CO ; Werro, op. cit., n. 26 ad art. 42 CO ; Chaix, op. cit., ch. 8 à 10, p. 42/43). En tant que norme dérogeant au principe général répartissant le fardeau de la preuve, les conditions d'application de l' art. 42 al. 2 CO doivent être appréciées strictement (Brehm, n. 50 ad art. 42 CO ; Werro, op. cit., n. 26 ad art. 42 CO ).</w:t>
      </w:r>
    </w:p>
    <w:p>
      <w:r>
        <w:rPr>
          <w:b/>
        </w:rPr>
        <w:t>E. 4.2.2</w:t>
      </w:r>
    </w:p>
    <w:p>
      <w:r>
        <w:t>En l'occurrence, il a été constaté définitivement ( art. 63 al. 2 OJ ) que la défenderesse n'a pas retrouvé les meubles 6, 11-13, 14, 19-23, 24, 25-30, 31, 35 et 37-39 que la demanderesse avait déposés auprès de la première pour qu'ils soient vendus à des tiers. L'intimée n'a en particulier pas pu les récupérer le 6 mars 2003 après son passage dans les locaux de la recourante. On ignore où se trouvent ces meubles et, même, s'ils existent encore. Dans un tel contexte, où les éléments de preuve du dommage (i.e. les pièces de mobilier) ont disparu, la cour cantonale, à considérer les principes susrappelés, n'a en rien violé le droit fédéral en fixant équitablement le préjudice de la demanderesse en vertu du pouvoir d'estimation que lui attribue l' art. 42 al. 2 CO .</w:t>
      </w:r>
    </w:p>
    <w:p>
      <w:r>
        <w:t>Et la recourante fait preuve d'une évidente mauvaise foi quand elle allègue que le dommage pouvait être déterminé par expertise, puisqu'il n'y a précisément aucun objet matériel à soumettre à un expert.</w:t>
      </w:r>
    </w:p>
    <w:p>
      <w:r>
        <w:t>Le premier grief n'a aucun fondement.</w:t>
      </w:r>
    </w:p>
    <w:p>
      <w:r>
        <w:rPr>
          <w:b/>
        </w:rPr>
        <w:t>E. 4.3.1</w:t>
      </w:r>
    </w:p>
    <w:p>
      <w:r>
        <w:t>Le dommage juridiquement reconnu réside dans la diminution involontaire de la fortune nette;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 ATF 129 III 18 consid. 2.4, 331 consid. 2; 128 III 22 consid. 2e/aa, 180 consid. 2d).</w:t>
      </w:r>
    </w:p>
    <w:p>
      <w:r>
        <w:t>Le calcul du dommage doit se faire selon la méthode subjective ou relative, laquelle se fonde sur le dommage concret et effectif subi (Werro, op. cit., n. 7 ad art. 42 CO ). Autrement dit, c'est l'intérêt concret et particulier du lésé à maintenir intact son patrimoine qui est pris en considération (Anton K. Schnyder, Commentaire bâlois, n. 2 ad art. 42 CO ).</w:t>
      </w:r>
    </w:p>
    <w:p>
      <w:r>
        <w:t>L'estimation du dommage d'après l' art. 42 al. 2 CO repose sur le pouvoir d'apprécier les faits; elle relève donc de la constatation des faits, laquelle ne peut être revue en instance de réforme ( ATF 131 III 360 consid. 5.1; 127 III 543 consid. 2b).</w:t>
      </w:r>
    </w:p>
    <w:p>
      <w:r>
        <w:t>L'estimation de la valeur effective d'une chose ressortit au fait. Mais le point de savoir si l'autorité cantonale s'est basée sur des principes de calcul admissibles pour déterminer la valeur d'un objet est une question de droit ( ATF 125 III 1 consid. 5a).</w:t>
      </w:r>
    </w:p>
    <w:p>
      <w:r>
        <w:t>En cas de perte de la chose déposée, le dommage correspond à la valeur objective de celle-ci avec ses fruits au jour où la restitution est demandée; s'il convient d'y ajouter une éventuelle plus-value jusqu'au prononcé du jugement de dernière instance cantonale, il n'y a pas lieu en revanche de prendre en compte les moins-values ( art. 475 al. 1 CO ; ATF 109 II 474 consid. 3; Thomas Koller, Commentaire bâlois, n. 17 ad art. 475 CO ).</w:t>
      </w:r>
    </w:p>
    <w:p>
      <w:r>
        <w:t>On parle de dommage total notamment si la chose a disparu ( ATF 127 III 365 consid. 2a; Brehm, op. cit. n. 25 ad art. 42 CO ). S'agissant de choses qui ne sont pas sujettes à amortissement, à l'exemple d'un meuble ancien, ledit dommage équivaut au moins au prix d'achat de l'objet (Brehm, op. cit., n. 26 ad art. 42 CO ; Werro, op. cit., n. 14 ad art. 42 CO ).</w:t>
      </w:r>
    </w:p>
    <w:p>
      <w:r>
        <w:rPr>
          <w:b/>
        </w:rPr>
        <w:t>E. 4.3.2</w:t>
      </w:r>
    </w:p>
    <w:p>
      <w:r>
        <w:t>Dans le cas présent, les magistrats genevois ont retenu que les valeurs objectives des meubles que la défenderesse n'a pas été à même de restituer à la demanderesse correspondaient à celles indiquées dans la convention conclue par les plaideurs le 14 décembre 2001.</w:t>
      </w:r>
    </w:p>
    <w:p>
      <w:r>
        <w:t>Il résulte de l'état de fait définitif que ces valeurs ont été arrêtées d'un commun accord entre les parties et qu'elles correspondaient à 60 % de la valeur à neuf de chaque pièce de mobilier.</w:t>
      </w:r>
    </w:p>
    <w:p>
      <w:r>
        <w:t>Partant, on ne voit pas que la Cour de justice ait méconnu dans l'arrêt entrepris la notion juridique du dommage. Le calcul concret du préjudice auquel elle a procédé résiste à toute critique.</w:t>
      </w:r>
    </w:p>
    <w:p>
      <w:r>
        <w:t>Le second moyen est infondé en tant qu'il est recevable.</w:t>
      </w:r>
    </w:p>
    <w:p>
      <w:r>
        <w:rPr>
          <w:b/>
        </w:rPr>
        <w:t>E. 5</w:t>
      </w:r>
    </w:p>
    <w:p>
      <w:r>
        <w:t>En définitive, le recours doit être rejeté dans la mesure de sa recevabilité. Les frais de justice seront mis à la charge de la recourante. Il ne sera pas alloué de dépens à l'intimée, qui n'est pas représentée par un avocat et qui n'a pas justifié avoir supporté de dépenses particulières (cf. ATF 125 II 518 consid. 5b; 113 Ib 353 consid. 6b).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