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4C.183/2005 vom 21. September 2005</w:t>
      </w:r>
    </w:p>
    <w:p>
      <w:r>
        <w:t>Bundesgericht, 2005-09-21, FR</w:t>
      </w:r>
    </w:p>
    <w:p>
      <w:r>
        <w:rPr>
          <w:b/>
        </w:rPr>
        <w:t xml:space="preserve">Quelle: </w:t>
      </w:r>
      <w:r>
        <w:t>https://mcp.opencaselaw.ch/entscheid/bger_4C.183_2005</w:t>
      </w:r>
    </w:p>
    <w:p>
      <w:r>
        <w:t>FR: TF 4C.183/2005 du 21 septembre 2005</w:t>
      </w:r>
    </w:p>
    <w:p>
      <w:r>
        <w:t>IT: TF 4C.183/2005 del 21 settembre 2005</w:t>
      </w:r>
    </w:p>
    <w:p>
      <w:pPr>
        <w:pStyle w:val="Heading2"/>
      </w:pPr>
      <w:r>
        <w:t>Regeste</w:t>
      </w:r>
    </w:p>
    <w:p>
      <w:r>
        <w:t>contrat de travail; plan d'intéressement du travailleur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Le Tribunal fédéral ne peut pas aller au-delà des conclusions des parties mais il n'est lié ni par les motifs qu'elles invoquent ( art. 63 al. 1 OJ ) ni par l'argumentation juridique adoptée par la juridiction cantonale ( art. 63 al. 3 OJ ; ATF 130 III 136 consid. 1.4; 128 III 22 consid. 2e/cc in fine). Le Tribunal fédéral peut donc admettre un recours pour des motifs autres que ceux invoqués par le recourant; il peut aussi rejeter un recours en opérant une substitution de motifs, c'est-à-dire en adoptant une argumentation juridique autre que celle de la juridiction cantonale ( ATF 130 III 136 consid. 1.4 in fine).</w:t>
      </w:r>
    </w:p>
    <w:p>
      <w:r>
        <w:rPr>
          <w:b/>
        </w:rPr>
        <w:t>E. 2</w:t>
      </w:r>
    </w:p>
    <w:p>
      <w:r>
        <w:t>Il est constant que les parties se sont liées par un contrat de travail et que la défenderesse s'est ainsi obligée à verser un salaire, conformément à l' art. 322 al. 1 CO . Ce qui était dû à ce titre comprenait d'abord le salaire proprement dit, dont le montant était convenu; cette prestation n'a jamais été litigieuse. Selon l'arrêt attaqué, incontesté sur ce point car la défenderesse s'est abstenue de recourir, le salaire comprenait aussi le bonus librement disponible que cette partie versait chaque année. Enfin, selon la thèse du demandeur, le salaire comprenait encore les sommes que la défenderesse allouait aux conditions du plan d'intéressement. Le demandeur revendique ce qu'elle lui a effectivement alloué pour les années 2000, 2001 et 2002, plus, prorata temporis, ce qu'elle aurait alloué pour 2003 si les rapports de travail s'étaient poursuivis au delà de cette année. Il évalue cette dernière prestation à 56'250 fr. et, selon son argumentation, il s'agit de la partie encore litigieuse du bonus de l'année 2003. A son avis, les conditions du plan d'intéressement étaient incompatibles avec les règles impératives à respecter dans le contrat de travail. Il invoque surtout l' art. 323b al. 3 CO , selon lequel les accords sur l'utilisation du salaire dans l'intérêt de l'employeur sont nuls, et l' art. 27 al. 2 CC selon lequel le travailleur ne peut pas aliéner sa liberté dans une mesure contraire aux lois ou aux moeurs. Il invoque aussi le droit du travailleur de recevoir son salaire prorata temporis jusqu'à l'expiration des rapports de travail.</w:t>
      </w:r>
    </w:p>
    <w:p>
      <w:r>
        <w:rPr>
          <w:b/>
        </w:rPr>
        <w:t>E. 3</w:t>
      </w:r>
    </w:p>
    <w:p>
      <w:r>
        <w:t>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 ATF 130 III 495 consid. 4.1 p. 499, avec références à divers auteurs; Wolfgang Portmann, Die Arbeitsbedingungen der Bankangestellten: eine Darstellung und Würdigung ausgewählter Aspekte, DTA 2005 p. 78; Dominique Portmann, Mitarbeiterbeteiligung: Mitarbeiteraktien und Mitarbeiteroptionen im schweizerischen Arbeitsrecht, Berne 2005, ch. 63 et 64 p. 42, 103 p. 76 et 105 p. 78). Au regard de l' art. 27 al. 2 CC , le travailleur peut se faire promettre des options ou actions dont il ne disposera qu'après cinq ans, selon les modalités d'un plan d'intéressement, sans que cela n'entraîne une restriction inadmissible de sa liberté de quitter l'employeur ( ATF 130 III 495 consid. 5 p. 503). Le moyen que le demandeur prétend tirer de cette disposition est donc mal fondé. Néanmoins, lors de la résiliation des rapports de travail, les clauses du plan prévoyant la perte complète des positions en cours peuvent se révéler contraires à des règles impératives destinées à la protection des travailleurs. En particulier, l' art. 323b al. 3 CO est violé lorsque les positions à abandonner ont été financées par une retenue de salaire (arrêts 4C.237/2004 et 4C.239/2004 du 1er octobre 2004; cf. Thomas Koller, Die Miet- und arbeitsrechtliche Rechtsprechung des Bundesgerichts im Jahre 2004, RJB 2005 p. 335; Matthias Staehelin, Gesperrte Optionen - als Lohn unzulässig? in RSJ 2005 p. 181).</w:t>
      </w:r>
    </w:p>
    <w:p>
      <w:r>
        <w:rPr>
          <w:b/>
        </w:rPr>
        <w:t>E. 4</w:t>
      </w:r>
    </w:p>
    <w:p>
      <w:r>
        <w:t>Le Tribunal fédéral a jugé que ces dispositions impératives ne trouvent pas application dans l'hypothèse où le bénéficiaire s'est engagé dans le plan d'intéressement à la manière d'un investisseur, c'est-à-dire d'une personne qui choisit librement de placer une partie de ses avoirs dans l'attente d'un gain en capital. Le tribunal a tenu cette situation pour réalisée dans la cause d'un spécialiste des placements qui avait assumé une fonction de cadre supérieur dans une banque et perçu un salaire élevé. Par des versements en capital et à un prix qui n'était pas spécialement avantageux, il avait financé lui-même ses positions dans le plan d'intéressement, de sorte que les titres concernés ne correspondaient pas à un élément de son salaire. Lorsque les parties avaient convenu de mettre fin aux rapports de travail, il avait réalisé un gain considérable en liquidant les positions qui lui étaient alors acquises ( ATF 130 III 495 consid. 4.2.2 et 4.2.3 p. 501). Dans la discussion de cette affaire, le Tribunal fédéral a envisagé que les dispositions impératives précitées ne soient pas non plus applicables, alors même que les circonstances n'autorisent pas à considérer le bénéficiaire comme un investisseur, quand celui-ci est un cadre ou un collaborateur jouissant d'un revenu élevé et que le financement de ses positions dans le plan d'intéressement, assuré par l'employeur, constitue un "bonus" dans la rétribution de son activité (ibidem, consid. 4.2.2). Dans la contestation présentement soumise au Tribunal fédéral, les juges d'appel n'ont constaté aucune circonstance qui autoriserait à considérer les positions du demandeur, dans le plan d'intéressement mis en oeuvre par la défenderesse, comme des investissements qu'il aurait choisis de façon autonome. Au contraire, la défenderesse a pris seule l'initiative des quatre dotations intervenues pour les années 1999 à 2002 et le demandeur n'a fait aucun apport en capital.</w:t>
      </w:r>
    </w:p>
    <w:p>
      <w:r>
        <w:rPr>
          <w:b/>
        </w:rPr>
        <w:t>E. 5</w:t>
      </w:r>
    </w:p>
    <w:p>
      <w:r>
        <w:t>Dans le contrat de travail, des règles différentes s'appliquent au salaire, d'une part, et à une éventuelle gratification d'autre part.</w:t>
      </w:r>
    </w:p>
    <w:p>
      <w:r>
        <w:rPr>
          <w:b/>
        </w:rPr>
        <w:t>E. 5.1</w:t>
      </w:r>
    </w:p>
    <w:p>
      <w:r>
        <w:t>Le salaire régi par l' 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l'espèce, le salaire expressément convenu était dû pour chaque mois de travail. Les parties peuvent encore convenir, en sus ou à la place d'un autre mode de rémunération, d'un salaire variable à calculer d'après le chiffre d'affaires ou le bénéfice de l'entreprise ( art. 322a CO ). Le salaire comprend éventuellement, outre ce qui est dû en argent, des prestations en nature telles que la jouissance d'un appartement, l'usage d'un véhicule ou le logement et l'entretien dans le ménage de l'employeur ( art. 322 al. 2 CO ; Christiane Brunner et al., Commentaire du contrat de travail, 3e éd., ch. 8 ad art. 322 CO ; Rémy Wyler, Droit du travail, Berne 2002, p. 124). Les prestations en nature peuvent comprendre des actions de l'entreprise, ou des options sur ses actions, pour autant que les règles impératives du droit du travail soient respectées (Brunner, op. cit., ch. 9 ad art. 322 CO ; Wyler, op. cit., p. 628/629). Selon certains auteurs, les clauses d'un plan d'intéressement prévoyant la perte complète des positions en cours, lorsque le travailleur quitte l'entreprise, sont nulles (Brunner, op. cit., ch. 8 ad art. 322d CO ); d'après d'autres ouvrages, la portée des règles impératives est douteuse (Dominique Portmann, op. cit., ch. 121 p. 91 et 255 p. 194; Christof Helbling, Mitarbeiteraktien und Mitarbeiteroptionen in der Schweiz, 2e éd., Zurich 2003, p. 245). A la suite des deux arrêts précités du 1er octobre 2004, Matthias Staehelin considère que la remise d'actions ou d'options aux conditions d'un plan d'intéressement est admissible si l'accord des parties porte directement sur le nombre des titres concernés, car ceux-ci constituent alors un salaire en nature; il tient cette solution pour compatible avec l' art. 323b al. 3 CO , à la différence du pacte selon lequel un salaire en argent doit être partiellement affecté à l'achat de titres (op. cit., p. 185).</w:t>
      </w:r>
    </w:p>
    <w:p>
      <w:r>
        <w:rPr>
          <w:b/>
        </w:rPr>
        <w:t>E. 5.2</w:t>
      </w:r>
    </w:p>
    <w:p>
      <w:r>
        <w:t>Une gratification, aux termes de l' art. 322d CO , est une rétribution spéciale que l'employeur verse en sus du salaire, par exemple une fois par année. Elle se distingue du salaire, et en particulier d'un éventuel treizième mois de salaire (Brunner, op. cit., ch. 3 ad art. 322d CO ),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 ATF 129 III 276 consid. 2 p. 278). Dans les deux cas, la gratification peut consister dans une somme d'argent ou dans des prestations en nature (Wyler, op. cit., p. 124/125). Certains auteurs admettent que la gratification soit fournie sous forme de titres de l'entreprise, remis aux conditions d'un plan d'intéressement (Matthias Staehelin, op. cit., p. 185; voir aussi Dominique Portmann, op. cit., ch. 124 p. 95); d'autres tiennent la gratification pour soumise à l' art. 323b al. 3 CO et ils excluent donc la validité de ces conditions (Brunner, op. cit., ch. 8 ad art. 322d CO ; voir aussi Adrian Staehelin et Franck Vischer, Commentaire zurichois, ch. 17 ad art. 323b CO ). En l'absence d'un accord explicite, la gratification est considérée comme convenue lorsque l'employeur l'a versée durant plus de trois années consécutives sans en réserver, par une déclaration adressée au travailleur, le caractère facultatif ( ATF 129 III 276 consid. 2 p. 278 in fine). Selon les circonstances, la gratification peut être due alors même que, d'année en année, l'employeur a exprimé et répété une réserve à ce sujet (consid. 2.3 p. 280).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(même arrêt, consid. 2.1 p. 279). Dans la présente affaire, c'est précisément en raison de leur importance que les bonus en argent, reçus année après année par le demandeur, ont été considérés par les juges d'appel comme une partie de son salaire.</w:t>
      </w:r>
    </w:p>
    <w:p>
      <w:r>
        <w:rPr>
          <w:b/>
        </w:rPr>
        <w:t>E. 5.3</w:t>
      </w:r>
    </w:p>
    <w:p>
      <w:r>
        <w:t>Lorsque l'employeur fournit des prestations variables dans le cadre d'un plan d'intéressement, il y a lieu de distinguer, sur la base de la convention des parties, dûment interprétée, et de leurs intérêts respectifs, s'il s'agit d'un salaire variable ou d'une gratification. Les critères à appliquer en cas de bonus en argent sont également pertinents à l'égard de prestations de ce genre (Dominique Portmann, op. cit., ch. 122 ss p. 93). Il faut donc aussi prendre en considération l'importance de cette rémunération spéciale dans l'ensemble des prestations pécuniaires de l'employeur.</w:t>
      </w:r>
    </w:p>
    <w:p>
      <w:r>
        <w:rPr>
          <w:b/>
        </w:rPr>
        <w:t>E. 6</w:t>
      </w:r>
    </w:p>
    <w:p>
      <w:r>
        <w:t>Le 20 février 2000, le demandeur a accepté par écrit de recevoir une dotation de 75'000 fr. aux conditions du plan d'intéressement. Il prétend toutefois n'être pas lié par cette manifestation de volonté.</w:t>
      </w:r>
    </w:p>
    <w:p>
      <w:r>
        <w:rPr>
          <w:b/>
        </w:rPr>
        <w:t>E. 6.1</w:t>
      </w:r>
    </w:p>
    <w:p>
      <w:r>
        <w:t>Dans la mesure où cela influence l'issue de la cause, le Tribunal fédéral peut constater directement, en application de l' art. 64 al. 2 OJ , que le document contresigné à cette date, pour acceptation, ne provenait pas de la défenderesse mais de N.________ Holdings (Luxembourg) SA. Le plan d'intéressement ne portait pas non plus sur des actions de la défenderesse mais sur celles de N.________ Holdings plc. Les dotations pour les années 2000, 2001 et 2002 ont aussi été annoncées au demandeur par N.________ Holdings (Luxembourg) SA; à ces occasions, aucune acceptation ne lui fut demandée. Lorsque l'employeuse appartient à un groupe de sociétés, il est courant que le plan d'intéressement soit mis en oeuvre par l'intermédiaire d'une autre société de ce groupe; cela n'exclut pas que les conditions du plan puissent porter atteinte à des règles impératives du droit du travail ( ATF 130 III 495 consid. 4.2.1 p. 501).</w:t>
      </w:r>
    </w:p>
    <w:p>
      <w:r>
        <w:rPr>
          <w:b/>
        </w:rPr>
        <w:t>E. 6.2</w:t>
      </w:r>
    </w:p>
    <w:p>
      <w:r>
        <w:t>Quelle que soit la portée du document précité, les parties n'ont jamais explicitement convenu que les dotations dans le plan d'intéressement seraient dues au demandeur à titre de salaire. Par ailleurs, au cours des trois dernières années de travail et conformément au calcul des premiers juges, ces dotations n'ont constitué que seize pour cent de l'ensemble des prestations pécuniaires fournies par la défenderesse. En moyenne, dans ce laps de temps, celles-ci ont atteint plus de 415'000 fr. par année. Les dotations n'avaient ainsi qu'une importance secondaire par rapport à une rémunération librement et immédiatement disponible qui était elle-même élevée; par conséquent, il ne s'impose pas de les considérer comme un élément du salaire aux termes de l' art. 322 al. 1 CO . En tant qu'il s'agissait d'une gratification selon l' art. 322d CO , le Tribunal fédéral peut renoncer à déterminer si elle était convenue ou seulement facultative. Les juges d'appel ont retenu que les conditions du plan d'intéressement "n'ont pas été négociées, l'employé n'ayant le choix que d'accepter ou de partir", et le demandeur invoque cette constatation pour soutenir qu'il n'a jamais consenti auxdites conditions. A supposer que ce point de vue soit fondé, le demandeur n'a de toute manière pas pu croire de bonne foi, au regard du comportement de la défenderesse, que celle-ci s'obligeait à lui verser les dotations en argent et sans égard aux conditions du plan d'intéressement. Au contraire, interprété selon le principe de la confiance (cf. ATF 130 III 417 consid. 3.2; 129 III 118 consid. 2.5 p. 123, 664 consid. 3.1 p. 667), ce comportement dénote que la défenderesse ne voulait accorder ses prestations que dans le cadre du plan. Les conditions de celui-ci, communiquées au demandeur avec la dotation du 20 février 2000, sont donc également celles de l'engagement auquel, le cas échéant, la défenderesse a souscrit de façon tacite par le fait qu'elle a procédé sans réserve à quatre dotations successives.</w:t>
      </w:r>
    </w:p>
    <w:p>
      <w:r>
        <w:rPr>
          <w:b/>
        </w:rPr>
        <w:t>E. 6.3</w:t>
      </w:r>
    </w:p>
    <w:p>
      <w:r>
        <w:t>Parce que ces dotations n'ont constitué qu'une prestation distincte du salaire dû par la défenderesse, d'importance secondaire par rapport à celui-ci, il y a lieu d'admettre que les conditions du plan d'intéressement ont été valablement appliquées. En effet, selon son libellé, l' art. 323b al. 3 CO ne vise que le salaire, à l'exclusion des autres rétributions éventuellement accordées en sus, telles qu'une gratification. Avec les règles sur la retenue de salaire ( art. 323a CO ) et l'interdiction de céder ou mettre en gage le salaire futur ( art. 325 CO ), cette disposition protège la capacité du travailleur de se procurer, par son activité, un revenu effectif et correspondant à la valeur de sa propre prestation. Or, cette capacité subsiste entièrement dans le cas où, comme en l'espèce, c'est seulement une rétribution supplémentaire et exorbitante du salaire qui est, selon les modalités imposées par l'employeur, disponible seulement à terme et grevée de conditions ayant pour objet, notamment, l'achat de titres de l'entreprise. Les conditions du plan d'intéressement sont donc pleinement opposables au demandeur. Elles font échec à ses prétentions puisque les périodes de blocage afférentes à chacune des trois dernières dotations n'étaient pas échues lorsqu'il a quitté la défenderesse et que la condition liée à la continuation des rapports de travail ne s'accomplira pas. Une éventuelle dotation prorata temporis pour 2003 serait elle aussi soumise aux mêmes conditions, de sorte que le demandeur ne pourrait pas non plus exiger que le montant à allouer lui soit versé en argent. Les juges d'appel ayant ainsi correctement appliqué le droit fédéral, le recours en réforme doit être rejeté.</w:t>
      </w:r>
    </w:p>
    <w:p>
      <w:r>
        <w:rPr>
          <w:b/>
        </w:rPr>
        <w:t>E. 7</w:t>
      </w:r>
    </w:p>
    <w:p>
      <w:r>
        <w:t>La procédure n'est pas gratuite car le montant de la demande, déterminant la valeur litigieuse selon l' art. 343 al. 2 CO , était supérieur au plafond de 30'000 fr. prévu par cette disposition ( ATF 122 III 495 consid. 4; 115 II 30 consid. 5b p. 41). A titre de partie qui succombe, le demandeur doit donc acquitter l'émolument judiciaire et les dépens à allouer à la défenderesse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