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4C.182/2001 vom 18. September 2001</w:t>
      </w:r>
    </w:p>
    <w:p>
      <w:r>
        <w:t>Bundesgericht, 2001-09-18, DE</w:t>
      </w:r>
    </w:p>
    <w:p>
      <w:r>
        <w:rPr>
          <w:b/>
        </w:rPr>
        <w:t xml:space="preserve">Quelle: </w:t>
      </w:r>
      <w:r>
        <w:t>https://mcp.opencaselaw.ch/entscheid/bger_4C.182_2001</w:t>
      </w:r>
    </w:p>
    <w:p>
      <w:r>
        <w:t>FR: TF 4C.182/2001 du 18 septembre 2001</w:t>
      </w:r>
    </w:p>
    <w:p>
      <w:r>
        <w:t>IT: TF 4C.182/2001 del 18 settembre 2001</w:t>
      </w:r>
    </w:p>
    <w:p>
      <w:pPr>
        <w:pStyle w:val="Heading2"/>
      </w:pPr>
      <w:r>
        <w:t>Regeste</w:t>
      </w:r>
    </w:p>
    <w:p>
      <w:r>
        <w:t>Vertragsrecht</w:t>
      </w:r>
    </w:p>
    <w:p>
      <w:pPr>
        <w:pStyle w:val="Heading2"/>
      </w:pPr>
      <w:r>
        <w:t>Erwägungen</w:t>
      </w:r>
    </w:p>
    <w:p>
      <w:r>
        <w:rPr>
          <w:b/>
        </w:rPr>
        <w:t>E. 2</w:t>
      </w:r>
    </w:p>
    <w:p>
      <w:r>
        <w:t>Die Berufung der Klägerin richtet sich gegen einen Rückweisungsentscheid des Obergerichts. Bei diesem handelt es sich um einen Zwischenentscheid, der das Verfahren nicht im Sinne von Art. 48 OG beendet. Da es sich nicht um einen Zwischenentscheid handelt, der bundesrechtliche Vorschriften über die Zuständigkeit im Sinne von Art. 49 OG betrifft, ist die Berufung nur unter den in Art. 50 OG genannten Voraussetzungen zulässig. Gemäss dieser Bestimmung kann das Bundesgericht angerufen werden, wenn dadurch sofort ein Endentscheid herbeigeführt und ein so bedeutender Aufwand an Zeit oder Kosten für ein weitläufiges Beweisverfahren erspart werden kann, dass dieses Vorgehen gerechtfertigt erscheint ( Art. 50 OG ). Wird der Eintritt der Verjährung der umstrittenen Ansprüche entgegen dem angefochtenen Urteil bejaht, so kann ein Endentscheid gefällt werden. Die erste Voraussetzung ist insofern erfüllt. Welche Beweismassnahmen erforderlich wären und daher mit dem Eintreten auf das vorliegende Rechtsmittel erspart werden können, ist der Rechtsschrift der Klägerin zwar nicht zu entnehmen und wird auch im angefochtenen Entscheid nicht dargelegt. Die Klägerin beschränkt sich darauf, die Abweisung der Verjährungseinrede als typischen Fall anzuführen, der die gesonderte Anrufung des Bundesgerichts nach Art. 50 OG regelmässig rechtfertigt. Aufgrund der vom Beklagten erhobenen Ansprüche, welche die Klägerin in ihrer negativen Feststellungsklage bestreitet, kann jedoch davon ausgegangen werden, dass die materielle Beurteilung ein weitläufiges Beweisverfahren erfordert. Nach der Natur des Falles ist daher auch die zweite Voraussetzung von Art. 50 OG gegeben ( BGE 118 II 91 E. 1a).</w:t>
      </w:r>
    </w:p>
    <w:p>
      <w:r>
        <w:rPr>
          <w:b/>
        </w:rPr>
        <w:t>E. 3</w:t>
      </w:r>
    </w:p>
    <w:p>
      <w:r>
        <w:t>Die Klägerin rügt, die Vorinstanz habe das Behandlungsverhältnis zwischen den Parteien zu Unrecht als quasi-vertragliches des Bundesprivatrechts qualifiziert. Sie bringt vor, es habe sich um ein öffentlichrechtliches (kantonales) Verhältnis gehandelt. Sie rügt damit sinngemäss, die Vorinstanz habe zu Unrecht Bundesrecht statt kantonales Recht angewendet. a) Nach den Feststellungen der Vorinstanz erfolgte die Einweisung des Beklagten im Jahre 1986 in eine Anstalt im Sinne von Art. 397a ZGB durch einen hierzu nach dem massgebenden kantonalen Recht ermächtigten Arzt. Ob die Klägerin mit dem Kanton Zürich im Jahre 1986 eine Vereinbarung über die Aufnahme von Patienten im Rahmen fürsorgerischen Freiheitsentzugs abgeschlossen hatte und wie diese gegebenenfalls ausgestaltet war, liess das Gericht als unerheblich offen. Nicht der behauptete widerrechtliche Freiheitsentzug und damit eine Verletzung im Sinne von Art. 429a ZGB stehe in Frage, sondern allein die medizinische Behandlung des Beklagten durch die Klägerin als solche. Das Obergericht ging insofern zutreffend davon aus, dass diese Behandlung von Art. 397a ff. ZGB nicht erfasst wird ( BGE 125 III 169 E. 3; 118 II 254 E. 6 S. 262). Da eine bundesrechtliche Gesetzesgrundlage insbesondere für Zwangsbehandlungen fehlt, obliegt nach der Rechtsprechung den Kantonen, eine gesetzliche Grundlage für therapeutische Zwangsmassnahmen im Rahmen eines fürsorgerischen Freiheitsentzugs zu schaffen, solange der Bundesgesetzgeber nicht selber eine Regelung aufstellt ( BGE 125 III 169 E. 3 ; 127 I 6 E. 2a ; 126 I 112 E. 3b). Dass der Kanton Zürich eine entsprechende Regelung getroffen hat, wird im angefochtenen Urteil nicht erwähnt (vgl. dazu BGE vom 7. Oktober 1992, 1P.218/1991, E. 7 und 8, publ. in ZBl 1993, S. 504, 512 ff.), was jedoch an der kantonalen Zuständigkeit nichts ändert ( BGE 126 I 112 E. 5, vgl. auch Schnyder, Die privatrechtliche Rechtsprechung des Bundesgerichts im Jahre 1999, ZBJV Bd. 136, 2000, S. 415). b) Die Vorinstanz hat aufgrund der massgebenden Sachvorbringen des Beklagten zutreffend geschlossen, dass ein privatrechtlicher Vertrag zwischen den Parteien nicht zustande gekommen ist, nachdem die umstrittene Behandlung des Beklagten wie der Aufenthalt in der Klinik gegen dessen Willen erfolgte. Ebenso hat sie eine Vertretung durch die Eltern des Beklagten verneint bzw. einen durch diese abgeschlossenen Vertrag zugunsten Dritter als nicht hinreichend substanziiert erachtet. Es ist daher davon auszugehen, dass sich die Einweisung des Beklagten in die Klinik der Klägerin allein auf den fürsorgerischen Freiheitsentzug stützte und die medizinische Behandlung dort einer vertraglichen Grundlage entbehrte. Die Vorinstanz hat jedoch für die Verjährung der umstrittenen Ansprüche die zehnjährige Frist von Art. 127 OR dennoch für anwendbar erklärt mit der Begründung, es sei ein quasi-vertragliches Obhutsverhältnis zwischen der Klinik und dem Patienten zustande gekommen. Auf welche Normen des Bundesprivatrechts sich ein derartiges Verhältnis stützen liesse, ist dem angefochtenen Urteil allerdings nicht zu entnehmen. Die beiläufig erwähnte (echte) Geschäftsführung ohne Auftrag im Sinne der Art. 419 ff. OR kommt beim Verstoss gegen ein wirksames Einmischungsverbot nicht zustande (Schmid, Zürcher Kommentar, N. 19 zu Vorbemerkungen zu Art. 419-424 OR , vgl. auch BGE 126 III 382 E. 4). Die nach den Sachvorbringen des Beklagten zwangsweise, gegen seinen Willen durchgeführte Behandlung schliesst auch aus, weitere quasi-vertragliche Entstehungsgründe in Betracht zu ziehen, wie dies der Beklagte in der Antwort sinngemäss befürwortet. Derartige quasi-vertragliche Entstehungsgründe setzen zwar keine übereinstimmende Willensäusserung im Sinne der Art. 1 und 18 OR voraus, beruhen aber doch stets auf einem vertrauensmässig zurechenbaren Verhalten einer der Parteien, auf welches sich die andere verlassen darf (dazu Kramer, Berner Kommentar, Allgemeine Einleitung in das schweizerische OR, N. 130 ff.). Davon kann bei einer therapeutisch motivierten Zwangsbehandlung, wie sie der Beklagte behauptet, im Rahmen eines fürsorgerischen Freiheitsentzugs keine Rede sein. c) Da der Vollzug der fürsorgerischen Massnahme den Kantonen obliegt, richtet sich die Durchführung der Zwangsbehandlung im Rahmen eines fürsorgerischen Freiheitsentzugs grundsätzlich nach kantonalem Recht. Ein allfälliges Obhuts- oder Behandlungsverhältnis zwischen den Parteien zum Vollzug einer fürsorgerischen Freiheitsentziehung könnte daher im kantonalen Recht begründet sein, was die Vorinstanz allerdings nicht feststellt. Ein besonderes Rechtsverhältnis nach kantonalem Recht vermöchte im Übrigen die Anwendung vertraglicher Normen des Bundesrechts nicht zu begründen. Auch soweit aber mangels (abschliessender) kantonaler Regelung Bundesprivatrecht zur Anwendung kommt, fehlt für das zwangsweise begründete Behandlungsverhältnis eine vertragliche oder quasi-vertragliche Grundlage. Die Vorinstanz hat eine allfällige vertragliche oder quasi-vertragliche Haftung der Klägerin aufgrund der Sachvorbringen des Beklagten zu Unrecht bejaht und daher bundesrechtswidrig die 10-jährige Verjährungsfrist gemäss Art. 127 OR für anwendbar gehalten. Nach den Sachvorbringen des Beklagten kommen allein unerlaubte Handlungen in Betracht, für deren Verjährung Art. 60 OR etwas anderes bestimmt.</w:t>
      </w:r>
    </w:p>
    <w:p>
      <w:r>
        <w:rPr>
          <w:b/>
        </w:rPr>
        <w:t>E. 4</w:t>
      </w:r>
    </w:p>
    <w:p>
      <w:r>
        <w:t>Der Beklagte leitet seine Ansprüche gegen die Klägerin aus unerlaubten Handlungen ab. Er macht namentlich geltend, mit der medizinischen Zwangsbehandlung seien die Straftatbestände der schweren Körperverletzung ( Art. 122 StGB ; Verfolgungsverjährung 10 Jahre), der einfachen Körperverletzung ( Art. 123 StGB ; Verfolgungsverjährung 5 Jahre), der Nötigung ( Art. 181 StGB ; Verfolgungsverjährung 5 Jahre), der Freiheitsberaubung ( Art. 183 StGB ; Verfolgungsverjährung 10 Jahre), des Amtsmissbrauchs ( Art. 312 StGB ; Verfolgungsverjährung 10 Jahre) und der Amtsanmassung ( Art. 287 StGB ; Verfolgungsverjährung 5 Jahre) erfüllt worden. Die Vorinstanz hat die Verjährung allfälliger Forderungen des Beklagten aus unerlaubter Handlung als eingetreten erachtet, was der Beklagte in der Antwort beanstandet. a) Die Regelung der Haftung aus (widerrechtlicher) hoheitlicher Amtsverrichtung kann grundsätzlich auch dann öffentlichrechtlich geregelt werden, wenn die hoheitliche Tätigkeit an Private übertragen ist (Brehm, Berner Kommentar, N. 12 zu Art. 61 OR ; Poudret, a.a.O., N. 2.3.34 zu Titre II). Abgesehen von hier nicht in Betracht fallenden bundesrechtlichen Verantwortlichkeitsregeln finden die Haftpflichtnormen der Art. 41 ff. OR daher insoweit keine Anwendung, als der Kanton eine Regelung tatsächlich getroffen hat. Die Vorinstanz hat jedoch festgehalten, die Klägerin als juristische Person des Privatrechts unterstehe dem kantonalen Haftungsgesetz nicht. Sie würde daher nach den massgebenden kantonalen öffentlichrechtlichen Bestimmungen für allfällige widerrechtliche Zwangsbehandlungen gegenüber dem Beklagten auch dann nicht haften, wenn sie im Rahmen des ihr vom zuständigen Kanton übertragenen Vollzugs einer fürsorgerischen Freiheitsentziehung mit der Vornahme therapeutischer Massnahmen betraut worden wäre. Die Klägerin kann daher nach den insoweit verbindlichen Feststellungen der Vorinstanz ausschliesslich nach den allgemeinen Haftpflichtnormen des Bundesprivatrechts in Anspruch genommen werden und ihre negative Feststellungsklage ist gutzuheissen, sofern allfällige Forderungen des Beklagten aus unerlaubter Handlung verjährt sind, wie die Vorinstanz angenommen hat. b) Der Anspruch auf Schadenersatz oder Genugtuung verjährt in einem Jahre von dem Tage hinweg, wo der Geschädigte Kenntnis vom Schaden und von der Person des Ersatzpflichtigen erlangt hat, jedenfalls aber mit dem Ablaufe von zehn Jahren, vom Tage der schädigenden Handlung an gerechnet ( Art. 60 Abs. 1 OR ). Wird jedoch die Klage aus einer strafbaren Handlung hergeleitet, für die das Strafrecht eine längere Verjährung vorschreibt, so gilt diese auch für den Zivilanspruch ( Art. 60 Abs. 2 OR ). Dass der Beklagte, der am 17. Juni 1986 aus der Klinik der Klägerin geflohen ist und die Klägerin am 22. April 1996 betrieben hat, die Verjährungsfrist von Art. 60 Abs. 1 OR eingehalten hätte, behauptet er nicht. Es kann sich allein fragen, ob die Vorinstanz den Eintritt der Verjährung insoweit zu Recht bejaht hat, als der Beklagte seine Ansprüche aus Straftaten herleitet. Dabei ist zu Recht nicht bestritten, dass sich der zivil- und der strafrechtliche Tatbestand auf dieselben Handlungen beziehen müssen ( BGE 122 III 5 E. 2c) und dass allfällige längere strafrechtliche Verjährungsfristen vom Tage der (letzten) strafbaren Handlung an zu laufen beginnen ( BGE 112 II 172 E. II/2b S. 189; 111 II 429 E. 2d S. 441), vorliegend spätestens am 17. Juni 1986. Für die vom Beklagten angeführten Straftatbestände mit einer fünfjährigen Frist gemäss Art. 70 StGB ist daher die Verjährung unbestritten eingetreten. Von den drei vom Beklagten angeführten Straftatbeständen mit 10-jähriger Verjährungsfrist ( Art. 122, Art. 183 und Art. 312 StGB ) bezieht sich nach den zutreffenden Erwägungen im angefochtenen Urteil allein derjenige der schweren Körperverletzung auf die medizinische Behandlung. Fraglich erscheint, ob nach den Sachvorbringen des Beklagten die Tatbestandsmerkmale erfüllt sind. Die Vorinstanz hat insofern jedoch festgehalten, dass die 10-jährige Frist mit der Betreibung vom April 1996 unterbrochen worden ist. Sie hat die Verjährung dennoch als eingetreten erachtet mit der Begründung, die Delikte seien strafrechtlich verjährt, nachdem bis zum 17. Juni 1996 kein Strafverfahren eingeleitet worden sei, weshalb mit der verjährungsunterbrechenden Handlung des Beklagten nurmehr eine einjährige Verjährungsfrist begonnen habe.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97 II 136 E. 3a; Stark, Ausservertragliches Haftpflichtrecht, 2. Aufl. ,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beizumessen. Ob jedoch Unterbrechungshandlungen im Sinne von Art. 135 OR nach Eintritt der strafrechtlichen Verjährung eine weitere Frist nur noch gemäss Art. 60 Abs. 1 OR in Gang setzen, braucht im vorliegenden Fall nicht abschliessend erörtert zu werden. Der Beklagte hat mit der Betreibung vom 22. April 1996 die Verjährung für Forderungen aus der Zwangstherapie während seines Klinikaufenthalts vom 23. April bis 17. Juni 1986 unterbrochen. Da er insoweit eine nach Art. 135 OR erforderliche Handlung vor Eintritt einer allfälligen 10-jährigen strafrechtlichen Verfolgungsverjährung vorgenommen hat, läuft eine weitere 10-jährige Frist bis zum 22. April 2006. e) Die Vorinstanz hat die Tragweite von Art. 60 Abs. 2 OR verkannt, indem sie die Verjährung auch für etwaige unerlaubte Handlungen als eingetreten ansah, für welche das Strafrecht eine 10-jährige Verfolgungsverjährung vorsieht. Sie hat allerdings ebenso wenig wie die erste Instanz geprüft, ob nach den Sachvorbringen des Beklagten überhaupt ein Straftatbestand in Betracht fällt, für den die 10-jährige strafrechtliche Verjährungsfrist gilt. Da insoweit die tatsächlichen Feststellungen über die massgebenden prozessualen Sachvorbringen des Beklagten fehlen, kann die negative Feststellungsklage der Klägerin nicht ohne Ergänzung beurteilt werden. 5.-Die Berufung gegen den angefochtenen Rückweisungsbeschluss ist insoweit begründet, als die Klägerin aus quasi-vertraglicher Pflichtverletzung vom Beklagten nach dessen im angefochtenen Entscheid festgestellten Sachvorbringen nicht in Anspruch genommen werden kann. Dagegen hat die Vorinstanz die Bedeutung von Art. 60 Abs. 2 OG verkannt, wenn sie die Verjährung für etwaige unerlaubte Handlungen auch insoweit als eingetreten ansah, als damit gleichzeitig Straftatbestände mit 10-jähriger Strafverfolgungsverjährung erfüllt wären. Die Verjährung ist zivilrechtlich nur insoweit eingetreten, als solche Straftatbestände nach den Sachvorbringen des Beklagten nicht in Betracht fallen. Der angefochtene Entscheid ist in teilweiser Gutheissung der Berufung aufzuheben und die Sache gemäss Art. 64 OG an die Vorinstanz zurückzuweisen. Dieser Ausgang des Verfahrens rechtfertigt, den Parteien die Gerichtsgebühr je zur Hälfte zu auferlegen und keine Parteientschädigungen zuzusprechen. Der Beklagte hat die unentgeltliche Rechtspflege auch für das bundesgerichtliche Verfahren beantragt. Die Bedürftigkeit kann als ausgewiesen gelten, nachdem der Beklagte seine Ausbildung gerade erst abgeschlossen hat, über kein steuerbares Einkommen verfügt und Studiendarlehen wird zurückbezahlen müssen. Da seine Rechtsbegehren im Übrigen nicht aussichtslos waren und die Komplexität der Sache den Beizug eines Anwalts erforderte, ist auf die Erhebung der Gerichtsgebühr zu verzichten und dem Anwalt des Beklagten ist aus der Bundesgerichtskasse ein Honorar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