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4C.180/2002 vom 26. August 2002</w:t>
      </w:r>
    </w:p>
    <w:p>
      <w:r>
        <w:t>Bundesgericht, 2002-08-26, DE</w:t>
      </w:r>
    </w:p>
    <w:p>
      <w:r>
        <w:rPr>
          <w:b/>
        </w:rPr>
        <w:t xml:space="preserve">Quelle: </w:t>
      </w:r>
      <w:r>
        <w:t>https://mcp.opencaselaw.ch/entscheid/bger_4C.180_2002</w:t>
      </w:r>
    </w:p>
    <w:p>
      <w:r>
        <w:t>FR: TF 4C.180/2002 du 26 août 2002</w:t>
      </w:r>
    </w:p>
    <w:p>
      <w:r>
        <w:t>IT: TF 4C.180/2002 del 26 agosto 2002</w:t>
      </w:r>
    </w:p>
    <w:p>
      <w:pPr>
        <w:pStyle w:val="Heading2"/>
      </w:pPr>
      <w:r>
        <w:t>Regeste</w:t>
      </w:r>
    </w:p>
    <w:p>
      <w:r>
        <w:t>Vertragsrecht</w:t>
      </w:r>
    </w:p>
    <w:p>
      <w:pPr>
        <w:pStyle w:val="Heading2"/>
      </w:pPr>
      <w:r>
        <w:t>Erwägungen</w:t>
      </w:r>
    </w:p>
    <w:p>
      <w:r>
        <w:rPr>
          <w:b/>
        </w:rPr>
        <w:t>E. 1.1</w:t>
      </w:r>
    </w:p>
    <w:p>
      <w:r>
        <w:t>Das Handelsgericht führte dem Sinne nach aus, die Kläger hätten - eine rechtzeitig und in genügender Form erhobene Mängelrüge vorausgesetzt - einen Anspruch darauf, dass das Bodenmaterial des gesamten Areals, insoweit es nachweislich übermässig verschmutzt sei, in den Zustand versetzt werde, den es bei vertragsgemässer Nutzung hätte. Vorliegend verlangten die Kläger aber nur den Ersatz des Minderwerts, welcher bei maximal möglicher Überbauung der beiden Grundstücke auf Grund der speziellen Behandlung des Aushubs entstehe. Damit würden sie davon ausgehen, die beiden Grundstücke könnten auf einer Fläche von 7'000 m2 überbaut werden. Da nicht das ganze Areal überbaubar sei, hätten die Kläger mit ihrer Klagebegründung auf die Geltendmachung eines Teils des Schadens verzichtet, worauf sie zu behaften seien.</w:t>
      </w:r>
    </w:p>
    <w:p>
      <w:r>
        <w:rPr>
          <w:b/>
        </w:rPr>
        <w:t>E. 1.2</w:t>
      </w:r>
    </w:p>
    <w:p>
      <w:r>
        <w:t>Die Kläger rügen, diese Auslegung ihrer Klage sei unzutreffend. Die Kläger hätten in ihren Rechtsschriften nie behauptet, ein Schaden entstehe genau dann und nur in diesem Umfang, wenn 7'000 m2 überbaut würden. Sie hätten auch nicht auf einen Teil des Schadens verzichtet, sondern würden den gesamten durch die Beklagte verursachten Schaden geltend machen.</w:t>
      </w:r>
    </w:p>
    <w:p>
      <w:r>
        <w:rPr>
          <w:b/>
        </w:rPr>
        <w:t>E. 1.3</w:t>
      </w:r>
    </w:p>
    <w:p>
      <w:r>
        <w:t>Die vertrauenstheoretische Auslegung eines Klagebegehrens bestimmt sich gleich wie die Auslegung einer rechtsgeschäftlichen Willenserklärung nach Bundesrecht, wobei darauf abzustellen ist, wie die Erklärung nach Treu und Glauben verstanden werde musste (BGE 105 II149 E. 2a S. 152; Messmer/Imboden, Die eidgenössischen Rechtsmittel in Zivilsachen, S. 123). Diese Auslegung kann im Berufungsverfahren überprüft werden (Urteil des BGer. 4C.123/1992 vom 13. Januar 1993, E. 2b/aa).</w:t>
      </w:r>
    </w:p>
    <w:p>
      <w:r>
        <w:rPr>
          <w:b/>
        </w:rPr>
        <w:t>E. 1.4</w:t>
      </w:r>
    </w:p>
    <w:p>
      <w:r>
        <w:t>In ihrer Klage vom 13. Februar 1997 führten die Kläger aus: (S. 5) "Das Gutachten bestätigt und ergänzt die Ergebnisse der Voruntersuchung. Demnach ist das Gelände jedenfalls bis zu einer Tiefe von 30 cm grossflächig mit Zink und in Teilbereichen mit Kolhenwasserstoffen belastet. Eine tiefergreifende Belastung bis 60 cm ist nicht auszuschliessen. Dies Bedeutet, dass bei einer baulichen Nutzung des Areals der Aushub einer speziellen Behandlung zugeführt werden muss, bevor das Material entsorgt werden kann. Der Gutachter schätzt die Kosten dieser Entsorgung auf Fr. 350'000 bis 500'000. (vgl. Gutachten, S. 4 oben; Beilage 9)." (S. 8) "Die Klägerin macht die gemäss Gutachten maximal zu erwartenden Entsorgungskosten als Minderwert der beiden Liegenschaften geltend. Der Verkehrswert der in der Bauzone gelegenen Grundstücke ist um diesen Betrag vermindert, da ein künftiger Käufer, der das Gelände bestimmungsgemäss überbauen will, die zusätzlichen Entsorgungskosten beim Kaufpreis in Abzug bringen wird." Unter Berücksichtigung des Gutachtens sind die Ausführungen der Kläger dahingehend zu verstehen, dass sie nicht die Behandlung des gesamten verschmutzten Bodens, sondern nur des Aushubmaterials im Falle einer Überbauung des Areals als erforderlich und damit als schadensrelevant erachten. Das Handelsgericht hat demnach das Vertrauensprinzip nicht verletzt, wenn es annahm, die Kläger forderten alleine den Ersatz der Kosten, welche bei einer zu erwartenden Überbauung durch die spezielle Entsorgung des Aushubmaterials entstehen. Demnach hat das Handelsgericht aus dem Umstand, dass die Kläger die Kosten für die Sanierung von 7'000 m2 forderten, zu Recht geschlossen, sie gingen davon aus, das Areal könne in diesem Umfang überbaut werden. Ob die Kläger insoweit auf den Ersatz eines Teils des Schadens verzichtet haben, ist nicht entscheiderheblich, weshalb sich weitere Ausführungen dazu erübrigen.</w:t>
      </w:r>
    </w:p>
    <w:p>
      <w:r>
        <w:rPr>
          <w:b/>
        </w:rPr>
        <w:t>E. 2.1</w:t>
      </w:r>
    </w:p>
    <w:p>
      <w:r>
        <w:t>Das Handelsgericht führte sinngemäss aus, nachdem die Beklagte bestritten habe, dass die gemieteten Grundstücke auf einer Fläche von 7'000 m2 überbaut werden können, hätten die Kläger diese Angabe näher substanziieren müssen. Sie hätten die einzelnen Tatsachen, welche zu diesem Ergebnis führen, bezeichnen müssen. Vorliegend müsste beispielsweise angeführt werden, aufgrund welcher Massangaben, welche überbaubaren Flächen resultierten; wo genau Baulinien verlaufen würden, und ob weitere baurechtliche Einschränkungen bestünden. Diese Angaben müssten anhand von Grundbuchauszügen etc. dargelegt werden. Diesen Anforderungen seien die Kläger nicht nachgekommen, da sie weder in der Klagebegründung noch in der Replik darlegten, aus welchen Tatsachen eine überbaubare Fläche von 7'000 m2 resultiere. Die Kläger seien damit bezüglich des geltend gemachten Schadens ihrer Substanziierungspflicht nicht nachgekommen.</w:t>
      </w:r>
    </w:p>
    <w:p>
      <w:r>
        <w:rPr>
          <w:b/>
        </w:rPr>
        <w:t>E. 2.2</w:t>
      </w:r>
    </w:p>
    <w:p>
      <w:r>
        <w:t>Die Kläger rügen dem Sinne nach, das Handelsgericht habe übersehen, dass die Beklagte die Überbaubarkeit nicht bestritten habe, sondern in ihrer Klageantwort (S. 14 Ziffer 11.4) selbst von einer überbaubaren Fläche von 8'000 m2 ausgehe. Diese Rüge ist offensichtlich unbegründet, da die Beklagte an der angegebenen Stelle zwar von einer Grundstückfläche von gut 8'000 m2, jedoch nicht von der Überbaubarkeit dieser Fläche ausgeht.</w:t>
      </w:r>
    </w:p>
    <w:p>
      <w:r>
        <w:rPr>
          <w:b/>
        </w:rPr>
        <w:t>E. 2.3</w:t>
      </w:r>
    </w:p>
    <w:p>
      <w:r>
        <w:t>Weiter machen die Kläger geltend, die vom Handelsgericht verlangten Anforderungen der Substanziierungspflicht seien überspannt und würden im vorliegenden Fall dazu führen, dass die Kläger ihren Anspruch nur durchsetzen könnten, wenn sie die bauliche Nutzung innerhalb der Verjährungsfrist realisiere. Die Kläger hätten die rechtserheblichen Tatsachen in genügender Weise dargestellt. Gemäss § 113 der Zürcher Zivilprozessordnung sollten Beweismittel schon im Hauptverfahren bezeichnet oder vorgelegt werden. Da nicht mit der ungewöhnlichen Betrachtungsweise der Angelegenheit durch das Gericht habe gerechnet werden müssen, seien die erst mit dem Urteil geforderten "Parameter" nicht vollständig geliefert worden. Deren Erarbeitung hätte zwar einigen Aufwand bedeutet, sei aber möglich gewesen. Allenfalls hätte das Gericht ein Beweisverfahren durchführen müssen.</w:t>
      </w:r>
    </w:p>
    <w:p>
      <w:r>
        <w:rPr>
          <w:b/>
        </w:rPr>
        <w:t>E. 2.4</w:t>
      </w:r>
    </w:p>
    <w:p>
      <w:r>
        <w:t>Nach allgemeinen Grundsätzen hat die Schadenersatz beanspruchende Partei den Schaden zu beweisen. Wie weit die anspruchsbegründenden Tatsachen dabei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Wird das Vorliegen eines vorerst nur pauschal behaupteten Schadens vom Prozessgegner bestritten, hat der Geschädigte deshalb die einzelnen konkreten Tatsachen vorzutragen, welche Grundlage für die Qualifizierung einer Vermögenseinbusse als rechtlich relevanter Schaden bilden ( BGE 127 III 368 E.2b mit weiteren Hinweisen). Art. 42 Abs. 2 OR enthält eine bundesrechtliche Beweisvorschrift, die dem Geschädigten den Schadensnachweis erleichtern soll. Die Bestimmung gestattet dem Sachgericht für Fälle, in denen der strikte Nachweis des Schadens ausgeschlossen ist, den Schaden aufgrund einer blossen Schätzung als ausgewiesen zu erachten. Damit soll dem Geschädigten jedoch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 BGE 122 III 219 E. 3a mit weiteren Hinweisen).</w:t>
      </w:r>
    </w:p>
    <w:p>
      <w:r>
        <w:rPr>
          <w:b/>
        </w:rPr>
        <w:t>E. 2.5</w:t>
      </w:r>
    </w:p>
    <w:p>
      <w:r>
        <w:t>Das Handelsgericht hat die genannten bundesrechtlichen Anforderungen an die Substanziierung nicht verkannt, wenn es annahm, nachdem die Beklagte die Überbaubarkeit des Areals bestritten habe, hätten die Kläger die Grundlagen für ihre Berechnung der überbaubaren Fläche angeben müssen. Entgegen der Ansicht der Kläger wäre ihnen dies durchaus zumutbar gewesen, weshalb sie nicht verlangen können, dass das Gericht insoweit selbst die Grundlagen des Schadensnachweises erarbeitet.</w:t>
      </w:r>
    </w:p>
    <w:p>
      <w:r>
        <w:rPr>
          <w:b/>
        </w:rPr>
        <w:t>E. 2.6</w:t>
      </w:r>
    </w:p>
    <w:p>
      <w:r>
        <w:t>Die Kläger machen nicht geltend, sie hätten die vom Handelsgericht verlangten Angaben bereits im kantonalen Verfahren vorgebracht. Mit den erst in der Berufung vorgelegten Berechnungsansätzen und der Angabe, ein zu entsorgender Aushub könne auch dort entstehen, wo nicht ein Gebäude sondern z.B. ein Parkplatz oder eine Strasse gebaut werde, versuchen sie nachträglich die Höhe des Schadens zu substanziieren. Diese neuen Vorbringen sind unzulässig ( Art. 55 Abs. 1 lit. c OG ). Ebenso kann auf die Rüge, kantonales Prozessrecht bzw. § 113 ZPO /ZH sei verletzt worden, nicht eingetreten werden ( Art. 55 Abs. 1 lit. c OG ).</w:t>
      </w:r>
    </w:p>
    <w:p>
      <w:r>
        <w:rPr>
          <w:b/>
        </w:rPr>
        <w:t>E. 3.1</w:t>
      </w:r>
    </w:p>
    <w:p>
      <w:r>
        <w:t>Schliesslich bringen die Kläger vor, das Handelsgericht hätte sie auf Grund der richterlichen Fragepflicht darauf hinweisen müssen, dass ihm die Angaben in der Expertise und in der Klagebegründung nicht genügten, um eine genaue Schätzung des Schadens vorzunehmen.</w:t>
      </w:r>
    </w:p>
    <w:p>
      <w:r>
        <w:rPr>
          <w:b/>
        </w:rPr>
        <w:t>E. 3.2</w:t>
      </w:r>
    </w:p>
    <w:p>
      <w:r>
        <w:t>Art. 274d Abs. 3 OR sieht für Streitigkeiten aus der Miete von Wohn- und Geschäftsräumen vor, dass der Richter den Sachverhalt von Amtes wegen festzustellen hat. Dies bedeutet, dass den Richter insoweit eine Fragepflicht trifft ( BGE 125 III 231 E. 4a). Im vorliegenden Fall liegt jedoch keine Miete von Wohn- oder Geschäftsräumen im Streit, weshalb Art. 274d Abs. 3 OR nicht zur Anwendung kommt. Damit ist eine aus dem Bundesrecht fliessende Fragepflicht zu verneinen. Ob sich eine solche Pflicht allenfalls aus dem kantonalen Prozessrecht oder den verfassungsmässigen Rechten der Bürger ergibt, kann offen bleiben, da die Anwendung dieser Rechte im Berufungsverfahren nicht überprüft werden kann ( Art. 43 Abs. 1 OG ).</w:t>
      </w:r>
    </w:p>
    <w:p>
      <w:r>
        <w:rPr>
          <w:b/>
        </w:rPr>
        <w:t>E. 4</w:t>
      </w:r>
    </w:p>
    <w:p>
      <w:r>
        <w:t>Nach dem Gesagten ist die Berufung abzuweisen, soweit darauf einzutreten ist. Bei diesem Ausgang des Verfahrens werden die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