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4C.177/2001 vom 1. Februar 2002</w:t>
      </w:r>
    </w:p>
    <w:p>
      <w:r>
        <w:t>Bundesgericht, 2002-02-01, DE</w:t>
      </w:r>
    </w:p>
    <w:p>
      <w:r>
        <w:rPr>
          <w:b/>
        </w:rPr>
        <w:t xml:space="preserve">Quelle: </w:t>
      </w:r>
      <w:r>
        <w:t>https://mcp.opencaselaw.ch/entscheid/bger_4C.177_2001</w:t>
      </w:r>
    </w:p>
    <w:p>
      <w:r>
        <w:t>FR: TF 4C.177/2001 du 1 février 2002</w:t>
      </w:r>
    </w:p>
    <w:p>
      <w:r>
        <w:t>IT: TF 4C.177/2001 del 1 febbraio 2002</w:t>
      </w:r>
    </w:p>
    <w:p>
      <w:pPr>
        <w:pStyle w:val="Heading2"/>
      </w:pPr>
      <w:r>
        <w:t>Erwägungen</w:t>
      </w:r>
    </w:p>
    <w:p>
      <w:r>
        <w:rPr>
          <w:b/>
        </w:rPr>
        <w:t>E. 1</w:t>
      </w:r>
    </w:p>
    <w:p>
      <w:r>
        <w:t>a) Im staatsrechtlichen Beschwerdeverfahren ist festgehalten worden, nach deutschem Recht sei die Auffassung nicht willkürlich, die gesicherte Darlehensforderung könne mit den diesbezüglichen Sicherheiten weiter abgetreten werden, wobei der Zedent die Zinsforderung als ungesicherten Anspruch behalten könne, ohne hiefür die Zustimmung des Sicherungsgebers einholen zu müssen. Somit fällt die Behauptung des Beklagten, der erzielte oder jedenfalls erzielbare Erlös sei nicht nur an die Kapitalforderung sondern auch an die Zinsforderung anzurechnen, dahin. Auch sind sämtliche Rügen, die bereits in der staatsrechtlichen Beschwerde vorgebracht und behandelt wurden, im Rahmen der vorliegenden Berufung nicht mehr zu hören. Zu prüfen bleibt lediglich, ob und in welchem Umfang die Klägerin eine nach schweizerischem Recht zu beurteilende Sorgfaltspflicht bezüglich der Verwertung der Sicherheiten trifft, die der Beklagte im vorliegenden Verfahren geltend machen könnte.</w:t>
      </w:r>
    </w:p>
    <w:p>
      <w:r>
        <w:t>b) Der Beklagte behauptet in diesem Zusammenhang, es komme gemäss der in der Faustpfandverschreibung enthaltenen Rechtswahl das schweizerische Recht ausschliesslich auf die unstreitig erfolgte Verpfändung der 2000 Partizipationsscheine (recte: des Partizipationsscheines über 2 Millionen Franken), jedoch nicht auf die 4000 Aktien der Klägerin zur Anwendung, obwohl er in der Folge ausdrücklich erwähnt, dass es um den Verwertungserlös geht, den die Y.________ AG durch Selbsteintritt in den Partizipationsschein und die Aktien der Klägerin erzielt hat. Indessen ist das Appellationsgericht unter Hinweis auf das Gutachten Prof. Schlechtriems, d.h. in Anwendung der Lex rei sitae (zumal es sich um Verbriefungen der Beteiligungsrechte an einer Aktiengesellschaft nach schweizerischem Recht handelt und das Gesellschaftsstatut ebenfalls auf schweizerisches Recht verweist) davon ausgegangen, dass sich die rechtlichen Fragen in Bezug auf die Verwertung des Sicherungseigentums, das bei der Y.________ AG als Zessionarin durch Surrogation entstanden ist, nach schweizerischem Recht richten. Diese Auffassung erweist sich zumindest im Ergebnis als zutreffend, ist doch der Selbsteintritt der Klägerin in die Aktien nichts anderes als eine zulässige Privatverwertung (Zobl, Berner Kommentar, Systematischer Teil der Art. 884 - 887 ZGB , N 1486 ff, insbes. N 1488). Der Begriff "verwerten", zu dem der Selbsteintritt gehört, umfasst jede Handlung, die es dem Pfandgläubiger erlaubt, sich den Wert des Pfandgegenstandes anzueignen (vgl. BGE 119 II 344 E. 2a), und auf die infolgedessen das im Pfandvertrag gewählte schweizerische Recht anwendbar ist ( Art. 105 IPRG ).</w:t>
      </w:r>
    </w:p>
    <w:p>
      <w:r>
        <w:rPr>
          <w:b/>
        </w:rPr>
        <w:t>E. 2</w:t>
      </w:r>
    </w:p>
    <w:p>
      <w:r>
        <w:t>a) Der Beklagte stellt sich auf den Standpunkt, dass zur Vermeidung einer Übervorteilung des Schuldners bei Selbsteintritt wesentlich strengere Anforderungen an die erforderliche Abrechung als bei der freihändigen Verwertung von Aktien mit einem bestimmten Börsenpreis gestellt werden müssen. Der Schuldner müsse in der Lage sein, die in der Abrechnung enthaltenen Angaben auf ihre Richtigkeit und Vollständigkeit zu überprüfen. Sodann erachtet der Beklagte die vorgewiesene Unternehmensbewertung als ein in keiner Weise den erwähnten Anforderungen genügendes Parteigutachten.</w:t>
      </w:r>
    </w:p>
    <w:p>
      <w:r>
        <w:t>Er wirft der Vorinstanz auch eine in diesem Zusammenhang unrichtige Beweislastverteilung vor.</w:t>
      </w:r>
    </w:p>
    <w:p>
      <w:r>
        <w:t>b) Durch Zession ist die Y.________ AG Gläubigerin der Darlehensforderung geworden. Was den Selbsteintritt betrifft, ist sie Berechtigte am Partizipationsschein und an den Aktien geworden. Die Klägerin ist somit infolge der Forderungsabtretung an die Y.________ AG unter Übertragung aller Sicherheiten, d.h. auch der Pfandrechte, bezüglich der bei ihr verbleibenden Zinsforderung nicht mehr Pfandgläubigerin.</w:t>
      </w:r>
    </w:p>
    <w:p>
      <w:r>
        <w:t>Denn haben die Vertragsparteien wie vorliegend etwas anderes vorgesehen, entsteht bei teilweiser Abtretung einer Pfandforderung nicht von Gesetzes wegen für jede Teilforderung ein Pfandrecht von gleichem Rang (vgl. Zobl, Berner Kommentar, N 285 zu Art. 884 ZGB ). Ferner wird bei Abtretung von pfandgesicherten Forderungen auch das Pfandrecht mitübertragen, ohne dass der Verpfänder hierfür sein Einverständnis geben muss (Zobl, a.a.O., N 287 zu Art. 884 ZGB ; Oftinger/Bär, Zürcher Kommentar, N 164 zu Art. 884 ZGB ).</w:t>
      </w:r>
    </w:p>
    <w:p>
      <w:r>
        <w:t>Damit steht, wie die Vorinstanz zu Recht annimmt, eine Anrechnung des bei der Pfandverwertung erzielten oder erzielbaren Erlöses ausser Diskussion. Es stellt sich jedoch im Berufungsverfahren die Frage, ob die Klägerin als Zedentin der Pfandrechte nicht für eine allfällige Pflichtverletzung seitens der Zessionarin im Zusammenhang mit der Pfandverwertung (mit)hafte. In der schweizerischen Doktrin wird die Frage kontrovers beantwortet (ablehnend: Zobl, a.a.O., N 21 zu Art. 890 ZGB , mit Hinweisen; befürwortend: Oftinger/Bär, a.a.O., N 31 zu Art. 890 ZGB ). Selbst wenn aber von der Möglichkeit einer (Mit)verantwortung der Zedentin auszugehen wäre, könnte der Beklagte im vorliegenden Fall infolge des Verrechnungsausschlusses und mangels Widerklage daraus nichts zu seinen Gunsten ableiten (s. dazu E. 2e des Urteils zur staatsrechtlichen Beschwerde). Somit erübrigt es sich, die weiteren Vorbringen des Beklagten, die sich auf eine Abrechnungspflicht der Klägerin stützen, zu prüfen.</w:t>
      </w:r>
    </w:p>
    <w:p>
      <w:r>
        <w:rPr>
          <w:b/>
        </w:rPr>
        <w:t>E. 3</w:t>
      </w:r>
    </w:p>
    <w:p>
      <w:r>
        <w:t>Zusammenfassend ergibt sich, dass die Berufung abzuweisen ist, soweit darauf einzutreten ist. Bei diesem Ausgang des Verfahrens wird der Beklagte kosten- und entschädigungspflichtig ( Art. 156 Abs. 1 und Art. 159 Abs. 2 OG ). Die von ihm geleistete Sicherheit für die Parteikosten ist der Klägerin von der Bundesgerichtskasse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