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4C.173/2003 vom 21. Oktober 2003</w:t>
      </w:r>
    </w:p>
    <w:p>
      <w:r>
        <w:t>Bundesgericht, 2003-10-21, FR</w:t>
      </w:r>
    </w:p>
    <w:p>
      <w:r>
        <w:rPr>
          <w:b/>
        </w:rPr>
        <w:t xml:space="preserve">Quelle: </w:t>
      </w:r>
      <w:r>
        <w:t>https://mcp.opencaselaw.ch/entscheid/bger_4C.173_2003</w:t>
      </w:r>
    </w:p>
    <w:p>
      <w:r>
        <w:t>FR: TF 4C.173/2003 du 21 octobre 2003</w:t>
      </w:r>
    </w:p>
    <w:p>
      <w:r>
        <w:t>IT: TF 4C.173/2003 del 21 ottobre 2003</w:t>
      </w:r>
    </w:p>
    <w:p>
      <w:pPr>
        <w:pStyle w:val="Heading2"/>
      </w:pPr>
      <w:r>
        <w:t>Regeste</w:t>
      </w:r>
    </w:p>
    <w:p>
      <w:r>
        <w:t>Droit des contrats</w:t>
      </w:r>
    </w:p>
    <w:p>
      <w:pPr>
        <w:pStyle w:val="Heading2"/>
      </w:pPr>
      <w:r>
        <w:t>Erwägungen</w:t>
      </w:r>
    </w:p>
    <w:p>
      <w:r>
        <w:rPr>
          <w:b/>
        </w:rPr>
        <w:t>E. 1.1</w:t>
      </w:r>
    </w:p>
    <w:p>
      <w:r>
        <w:t>Selon la cour cantonale, la défenderesse n'a pas établi avoir menacé à réitérées reprises verbalement le demandeur d'un renvoi immédiat au cas où il continuerait à ne pas se conformer à ses horaires de travail et à utiliser abusivement les infrastructures de la société. Il est vrai, en revanche, que le demandeur a fait l'objet de plusieurs avertissements écrits, les 7 et 8 février 2001 ainsi que le 12 mars 2001, au sujet de son manque de ponctualité et de son utilisation abusive d'internet et du téléphone de la société. Cependant, l'employé n'a reçu aucune mise en garde verbale ou écrite en ce qui concerne la qualité de son travail, pourtant invoquée pour justifier son congédiement immédiat. S'agissant des seuls manquements du travailleur ayant donné lieu à des mises en garde expresses, les juges d'appel soulignent que le contrat de travail prévoyait que les absences et retards injustifiés seraient sanctionnés par une retenue sur le salaire, tandis que les règles de bonne conduite édictées par la défenderesse disposaient que l'utilisation de l'infrastructure de l'entreprise à des fins privées pourrait entraîner l'ouverture d'une action disciplinaire susceptible de déboucher sur un licenciement. Dans ces conditions, il est apparu à l'autorité intimée qu'à défaut de toute précision, dans les mises en garde écrites, quant à la nature de la sanction encourue s'il ne se conformait pas aux obligations que l'employeur l'invitait à respecter, le demandeur ne pouvait pas comprendre qu'il s'exposait à un licenciement immédiat puisque, selon le contrat et les règles de bonne conduite, les manquements qui lui étaient reprochés n'étaient pas sanctionnés par une telle mesure. Par ailleurs, relève encore la Cour d'appel, la défenderesse n'indique pas en quoi le comportement du demandeur excluait la continuation des rapports de travail jusqu'au prochain terme de congé ordinaire qui, en l'occurrence, n'était que de deux mois. Cela étant, de l'avis de l'autorité intimée, la décision des premiers juges de considérer comme abusive la résiliation immédiate du 17 avril 2001 ne souffre aucune critique.</w:t>
      </w:r>
    </w:p>
    <w:p>
      <w:r>
        <w:rPr>
          <w:b/>
        </w:rPr>
        <w:t>E. 1.2</w:t>
      </w:r>
    </w:p>
    <w:p>
      <w:r>
        <w:t>Invoquant la violation de l' art. 337 al. 1 CO et de la jurisprudence y relative, la défenderesse soutient que les manquements reprochés au demandeur - soit le non-respect des horaires fixés par l'employeur et l'utilisation du téléphone de l'entreprise à des fins privées - étaient suffisamment graves pour justifier un licenciement immédiat sans avertissement préalable. Dans le cas contraire, toujours selon la défenderesse, force serait de constater que le demandeur a reçu au moins quatre avertissements dont il n'a tenu aucun compte, de sorte que son congédiement avec effet immédiat s'avérait amplement justifié. Il n'était d'ailleurs point nécessaire, pour cela, que les avertissements fussent assortis d'une menace d'un licenciement immédiat. La défenderesse soutient enfin que les constatations de fait de l'arrêt attaqué sont incomplètes. A cet égard, elle indique avoir allégué dans toutes ses écritures et dûment prouvé que le demandeur consultait régulièrement, depuis son poste de travail, des sites internet étrangers à son activité professionnelle, certains revêtant même un caractère pornographique. Cette dernière circonstance, découverte lors d'un contrôle ponctuel effectué postérieurement au départ de l'intéressé, était propre à justifier rétroactivement le licenciement immédiat du demandeur, aux yeux de la défenderesse, et elle pouvait être invoquée pendente lite.</w:t>
      </w:r>
    </w:p>
    <w:p>
      <w:r>
        <w:rPr>
          <w:b/>
        </w:rPr>
        <w:t>E. 1.3</w:t>
      </w:r>
    </w:p>
    <w:p>
      <w:r>
        <w:t>Dans sa réponse au recours, le demandeur s'emploie à démontrer que, dans la mesure où la défenderesse n'a pas émis la moindre critique sur son travail ou son comportement pendant plus d'une année, sa décision de le licencier sur-le-champ constituait de toute évidence une mesure de rétorsion puisqu'elle avait été prise après qu'il eut élevé des prétentions pécuniaires déduites du contrat de travail. Pour le reste, le demandeur met en doute le caractère probant de la pièce invoquée par la défenderesse pour étayer sa requête visant à compléter l'état de fait et il nie catégoriquement avoir consulté des sites pornographiques, tout en reconnaissant avoir visité à quelques reprises des sites internet à des fins privées.</w:t>
      </w:r>
    </w:p>
    <w:p>
      <w:r>
        <w:rPr>
          <w:b/>
        </w:rPr>
        <w:t>E. 2</w:t>
      </w:r>
    </w:p>
    <w:p>
      <w:r>
        <w:t>L' art. 64 OJ ne confère pas aux parties la faculté de compléter ad libitum les faits constatés par l'autorité cantonale, en particulier en soutenant qu'un complètement desdits faits conduirait à une solution juridique différente du litige. Pour que la norme précitée entre en jeu, l'arrêt attaqué ne doit pas contenir les constatations nécessaires à l'application du droit fédéral. Le complètement des faits est exclu lorsqu'il est fait grief à la cour cantonale d'avoir constaté les faits de manière erronée, car c'est l'appréciation des preuves qui est alors mise en cause, laquelle ne saurait être contrôlée en instance de réforme (arrêt 4C.197/2001 du 12 février 2002, consid. 2b). En l'espèce, les constatations de la cour cantonale sont tout à fait suffisantes pour permettre au Tribunal fédéral de trancher la question juridique litigieuse. Aussi n'y a-t-il pas lieu de les compléter. Il est du reste frappant d'observer la similitude entre l'argumentation développée par la défenderesse sous l'angle de l' art. 64 OJ et celle qu'elle a présentée dans son recours de droit public connexe au titre de l'appréciation arbitraire des preuves. Ce qu'elle reproche, en réalité, à la Cour d'appel, c'est de n'avoir pas pris en compte un élément de preuve - la pièce n° 20 de son chargé - propre à établir un fait dûment allégué. Un tel grief ressortit au domaine de l'appréciation des preuves et il devait donc être soumis au Tribunal fédéral par la voie du recours de droit public pour violation de l' art. 9 Cst. , ce qui a bien été le cas. En tout état de cause, pour les motifs indiqués plus loin (cf. consid. 3.2 in fine), même si le fait litigieux avait été dûment constaté, le sort du litige n'en eût pas été modifié pour autant.</w:t>
      </w:r>
    </w:p>
    <w:p>
      <w:r>
        <w:rPr>
          <w:b/>
        </w:rPr>
        <w:t>E. 3.1</w:t>
      </w:r>
    </w:p>
    <w:p>
      <w:r>
        <w:t>L'employeur et le travailleur peuvent résilier immédiatement le contrat de travail en tout temps pour de justes motifs ( art. 337 al. 1 CO ). Sont notamment considérées comme de justes motifs toutes les circonstances qui, selon les règles de la bonne foi, ne permettent pas d'exiger de celui qui a donné le congé la continuation des rapports de travail ( art. 337 al. 2 CO ). Mesure exceptionnelle, la résiliation immédiate pour justes motifs doit être admise de manière restrictive. D'après la jurisprudence, seul un manquement particulièrement grave du travailleur justifie son licenciement immédiat. Si le manquement est moins grave, il ne peut entraîner une résiliation immédiate que s'il a été répété malgré un ou plusieurs avertissements ( ATF 121 III 467 consid. 4d, 117 II 560 consid. 3, 116 II 145 consid. 6a p. 150). La jurisprudence s'est refusée à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Les juridictions cantonales disposent à cet égard d'un large pouvoir d'appréciation.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La gravité de l'acte, propre à justifier un licenciement immédiat, peut être absolue ou relative. Dans le premier cas, elle résulte d'un acte pris isolément. Dans le second, elle découle du fait que le travailleur, pourtant dûment averti, persiste à violer ses obligations contractuelles; ici, la gravité requise ne réside pas dans l'acte lui-même, mais - à l'image de la récidive en droit pénal - dans sa réitération. Cela étant, savoir s'il y a gravité suffisante dans un cas donné restera toujours une question d'appréciation ( ATF 127 III 153 consid. 1c). Le juge apprécie librement s'il existe de justes motifs ( art. 337 al. 3 CO ). Il applique les règles du droit et de l'équité ( art. 4 CC ). A cet effet, il prendra en considération tous les éléments du cas particulier, notamment la position et la responsabilité du travailleur, la nature et la durée des rapports contractuels, ainsi que la nature et l'importance des manquements ( ATF 111 II 245 consid. 3).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119 II 157 consid. 2a in fine; 116 II 145 consid. 6a).</w:t>
      </w:r>
    </w:p>
    <w:p>
      <w:r>
        <w:rPr>
          <w:b/>
        </w:rPr>
        <w:t>E. 3.2</w:t>
      </w:r>
    </w:p>
    <w:p>
      <w:r>
        <w:t>Quoi qu'en pense la défenderesse, les juges d'appel n'ont pas violé ces principes jurisprudentiels ni excédé leur large pouvoir d'appréciation en refusant d'avaliser le licenciement avec effet immédiat du demandeur. On relèvera, en premier lieu, que la défenderesse n'est pas très conséquente avec ses propres actes, lorsqu'elle soutient que le non-respect des horaires fixés par l'employeur et l'utilisation du téléphone de l'entreprise à des fins privées suffisaient à justifier un tel licenciement sans avertissement préalable. Elle oublie, ce disant, qu'elle-même a jugé nécessaire d'avertir le demandeur à raison de ces faits avant de le congédier. La défenderesse feint également d'ignorer que ses propres règles de conduite prévoyaient d'autres mesures (retenue sur le salaire et action disciplinaire) pour sanctionner de tels comportements. La portée de ceux-ci doit du reste être relativisée, du moins en ce qui concerne les arrivées tardives au lieu de travail. En effet, comme le soulignaient déjà les premiers juges, la défenderesse a laissé le demandeur travailler selon un horaire libre durant une année, sans émettre la moindre protestation, acceptant ainsi l'horaire irrégulier adopté par son employé. La Cour d'appel n'a pas non plus méconnu le droit fédéral en jugeant insuffisants les avertissements donnés par la défenderesse au demandeur entre le 7 février et le 12 mars 2001. Ceux-ci ne comportaient effectivement aucune précision quant à la nature de la sanction à laquelle le demandeur s'exposait s'il ne se conformait pas aux injonctions de l'employeur. L'intéressé, qui s'était expatrié pour venir travailler en Suisse au bénéfice d'une autorisation de séjour temporaire, ne pouvait pas clairement comprendre, en prenant connaissance de ces avertissements, qu'il serait congédié séance tenante en cas de récidive, alors que son contrat et le règlement interne de l'entreprise prévoyaient expressément des sanctions moins radicales pour les agissements qui lui étaient reprochés, la plus incisive étant le "licenciement" sans précision aucune au sujet de son éventuel caractère immédiat. Au surplus, le demandeur démontre de manière convaincante, dans sa réponse au recours, les singularités des avertissements qui lui ont été donnés en soulignant, d'une part, qu'il n'y a jamais eu de "premier avertissement" et, d'autre part, que le "troisième avertissement" du 8 février 2001 se réfère à une prétendue arrivée tardive dont le "second avertissement" du 7 février 2001 ne fait pas mention, bien que cette arrivée tardive serait survenue le 6 février 2001 déjà, c'est-à-dire antérieurement. Il est du reste assez frappant de constater la concomitance entre l'envoi des avertissements au demandeur, suivi de son licenciement immédiat, et la formulation par l'intéressé de revendications salariales. S'agissant enfin des faits prétendument omis de manière arbitraire par la Cour d'appel, voire constatés de manière incomplète par elle, il sied d'observer, en premier lieu, que, du propre aveu de la défenderesse, elle n'ignorait pas que le demandeur fréquentait avec une certaine assiduité des sites internet sans aucun rapport avec sa fonction au sein de l'entreprise. Or, cela ne l'a pas amenée à mettre un terme à la relation contractuelle, et la première intervention avérée de sa part auprès de l'employé pour déplorer l'utilisation abusive de son outil de travail n'a été effectuée que le 12 mars 2001. D'où il suit que, dans l'esprit même de la défenderesse, le comportement incriminé ne justifiait pas le congédiement immédiat de son auteur. La défenderesse, il est vrai, fait grand cas de la découverte du caractère pornographique de certains des sites visités à partir de l'ordinateur du demandeur. Sans doute la jurisprudence fédérale autorise-t-elle l'employeur à se prévaloir a posteriori, pour justifier un licenciement immédiat, d'une circonstance qui existait au moment de la déclaration de licenciement. Il est également indéniable que la consultation assidue de sites internet - à caractère sexuel ou non - sur le lieu du travail à des fins privées peut constituer une circonstance de ce genre (cf. arrêt 4C.349/2002 du 25 juin 2003, consid. 5). Toutefois, une telle faculté n'est accordée à l'employeur qu'à des conditions restrictives, l'une d'elles étant qu'il "ne connaissait pas et ne pouvait pas connaître" pareille circonstance ( ATF 127 III 310 consid. 4a et les arrêts cités). Or, cette condition n'est pas réalisé en l'espèce. De fait, sachant que le demandeur visitait des sites internet à des fins privées, la défenderesse aurait fort bien pu s'enquérir à l'époque de la nature de ces sites, comme elle l'a fait immédiatement après avoir congédié son employé; elle aurait alors pu prendre les mesures qui s'imposaient pour faire cesser semblables pratiques. Venir fustiger l'auteur de celles-ci après la rupture abrupte des relations de travail pour tenter de justifier rétroactivement cette mesure n'est, dès lors, pas admissible dans les circonstances du cas particulier.</w:t>
      </w:r>
    </w:p>
    <w:p>
      <w:r>
        <w:rPr>
          <w:b/>
        </w:rPr>
        <w:t>E. 3.3</w:t>
      </w:r>
    </w:p>
    <w:p>
      <w:r>
        <w:t>Il résulte de cet examen que le licenciement immédiat du demandeur n'était pas justifié. Dans ces conditions, il y a lieu de rejeter, en tant qu'il est recevable, le recours en réforme soumis à l'examen du Tribunal fédéral.</w:t>
      </w:r>
    </w:p>
    <w:p>
      <w:r>
        <w:rPr>
          <w:b/>
        </w:rPr>
        <w:t>E. 4</w:t>
      </w:r>
    </w:p>
    <w:p>
      <w:r>
        <w:t>Compte tenu de la valeur litigieuse, la procédure n'est pas gratuite ( art. 343 al. 2 et 3 CO ). Les frais et dépens doivent être mis à la charge de la défenderesse,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