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4C.167/2000 vom 28. September 2000</w:t>
      </w:r>
    </w:p>
    <w:p>
      <w:r>
        <w:t>Bundesgericht, 2000-09-28, FR</w:t>
      </w:r>
    </w:p>
    <w:p>
      <w:r>
        <w:rPr>
          <w:b/>
        </w:rPr>
        <w:t xml:space="preserve">Quelle: </w:t>
      </w:r>
      <w:r>
        <w:t>https://mcp.opencaselaw.ch/entscheid/bger_4C.167_2000</w:t>
      </w:r>
    </w:p>
    <w:p>
      <w:r>
        <w:t>FR: TF 4C.167/2000 du 28 septembre 2000</w:t>
      </w:r>
    </w:p>
    <w:p>
      <w:r>
        <w:t>IT: TF 4C.167/2000 del 28 settembre 2000</w:t>
      </w:r>
    </w:p>
    <w:p>
      <w:pPr>
        <w:pStyle w:val="Heading2"/>
      </w:pPr>
      <w:r>
        <w:t>Erwägungen</w:t>
      </w:r>
    </w:p>
    <w:p>
      <w:r>
        <w:rPr>
          <w:b/>
        </w:rPr>
        <w:t>E. 1</w:t>
      </w:r>
    </w:p>
    <w:p>
      <w:r>
        <w:t>a) Le recourant interjette, par un mémoire unique, un recours en réforme et, subsidiairement, un recours en nullité. Selon la jurisprudence, cette manière de procéder est admissible ( ATF 126 I 50 consid. 1; 123 II 289 consid. 1a p. 290). En vertu de la subsidiarité du recours en nullité par rapport au recours en réforme (art. 68 al. 1 in initio OJ), il convient ainsi d'examiner préalablement si la voie de la réforme est en l'occurrence ouverte, question que le Tribunal fédéral examine d'office et librement ( ATF 126 I 81 consid. 1; 126 III 274 consid. 1; 125 III 461 consid. 2).</w:t>
      </w:r>
    </w:p>
    <w:p>
      <w:r>
        <w:t>Interjeté par la partie qui a intégralement succombé dans ses conclusions en paiement et dirigé contre un jugement final rendu en dernière instance cantonale par un tribunal supérieur ( art. 48 al. 1 OJ ) sur une contestation civile dont la valeur litigieuse dépasse largement le seuil de 8000 fr. ( art. 46 OJ ), le recours en réforme est recevable, puisqu'il a été déposé en temps utile ( art. 54 al. 1 OJ ) dans les formes requises ( art. 55 OJ ).</w:t>
      </w:r>
    </w:p>
    <w:p>
      <w:r>
        <w:t>b) Le recours en réforme est ouvert pour violation du droit fédéral, mais non pour violation directe d'un droit de rang constitutionnel ( art. 43 al. 1 OJ ).</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le recourant présenterait un état de fait qui s'écarte de celui contenu dans la décision attaquée sans se prévaloir de l'une des exceptions qui viennent d'être rappelées, il n'est pas possible d'en tenir compte.</w:t>
      </w:r>
    </w:p>
    <w:p>
      <w:r>
        <w:t>Il ne peut être présenté de griefs contre les constatations de fait, ni de faits ou de moyens de preuve nouveaux ( art. 55 al. 1 let . c OJ).</w:t>
      </w:r>
    </w:p>
    <w:p>
      <w:r>
        <w:t>Si le Tribunal fédéral ne peut aller au-delà des conclusions des parties, lesquelles ne peuvent prendre de conclusions nouvelles (art. 55 al. 1 let. b in fine OJ), il n'est pas lié par les motifs qu'elles invoquent ( art. 63 al. 1 OJ ), pas plus que par ceux de la décision cantonale ( art. 63 al. 3 OJ ; ATF 126 III 59 consid. 2a; 123 III 246 consid. 2).</w:t>
      </w:r>
    </w:p>
    <w:p>
      <w:r>
        <w:rPr>
          <w:b/>
        </w:rPr>
        <w:t>E. 2</w:t>
      </w:r>
    </w:p>
    <w:p>
      <w:r>
        <w:t>a) L'accident survenu le 3 octobre 1984 résulte de la collision entre deux voitures automobiles pilotées par leurs détenteurs, laquelle a causé des lésions corporelles. Comme l'a bien vu l'autorité cantonale, l' art. 61 LCR est applicable.</w:t>
      </w:r>
    </w:p>
    <w:p>
      <w:r>
        <w:t>Selon le premier alinéa de cette disposition, le dommage corporel subi par un détenteur sera supporté par les détenteurs de tous les véhicules automobiles impliqués, en proportion de leur faute, à moins que des circonstances spéciales, notamment les risques inhérents à l'emploi du véhicule, ne justifient un autre mode de répartition. Ce texte légal tend ainsi à mettre la faute au premier plan lors de la répartition des dommages entre détenteurs (Message du Conseil fédéral du 14 novembre 1973, in: FF 1973 II p. 1168/1169). Mais, si aucun des détenteurs ne peut se voir reprocher une faute, c'est le risque inhérent de chaque véhicule impliqué dans l'accident qui permettra de répartir les responsabilités. Le principe est que chacun supporte son propre dommage en tant que le préjudice résulte du risque inhérent attaché à son automobile. La jurisprudence a cependant admis que d'autres circonstances, principalement celles qui sont mentionnées à l'art. 61 al. 2LCR, autorisent un partage différent des responsabilités; il s'agit de l'incapacité passagère de discernement du conducteur ou de la défectuosité du véhicule non imputable à faute au détenteur ( ATF 123 III 274 consid. 1a/bb p. 279). Le Tribunal fédéral a encore précisé que si de telles circonstances, en compagnie des risques spécifiques, doivent jouer un rôle dans la responsabilité civile entre les divers détenteurs de véhicules automobiles, elles ne peuvent justifier une responsabilité exclusive d'un des détenteurs que tout au plus dans des cas exceptionnels, par exemple si un détenteur circule sur la gauche de la chaussée à la suite d'une perte de conscience ou d'une rupture de direction ( ATF 123 III 274 ibidem et les références doctrinales).</w:t>
      </w:r>
    </w:p>
    <w:p>
      <w:r>
        <w:t>L'examen des circonstances, au sens de l' art. 61 al. 1 LCR , fait largement appel au pouvoir d'appréciation du juge. Le Tribunal fédéral contrôle certes librement la décision rendue dans l'exercice de ce pouvoir, mais il ne la revoit qu'avec réserve ( ATF 123 III 274 consid. 1a/cc); il n'intervient que si l'autorité cantonale s'est écartée sans raison des règles établies par la doctrine et la jurisprudence en matière de libre appréciation ou lorsqu'elle s'est appuyée sur des faits qui, dans le cas particulier, ne devaient jouer aucun rôle ou, à l'inverse, lorsqu'elle n'a pas tenu compte d'éléments qui auraient absolument dû être pris en considération (cf. ATF 123 III 246 consid. 6a p. 255, 274 consid. 1a/cc; 122 III 262 consid. 2a/bb).</w:t>
      </w:r>
    </w:p>
    <w:p>
      <w:r>
        <w:t>b) Les constatations de la cour cantonale relatives aux circonstances et aux causes de l'accident relèvent de l'appréciation des preuves; elles ressortissent au fait et lient la juridiction fédérale de réforme ( art. 55 al. 1 let . c OJ). L'appréciation de la faute est en revanche une question de droit que le Tribunal fédéral revoit sans entrave ( ATF 115 II 283 consid. 1a in fine).</w:t>
      </w:r>
    </w:p>
    <w:p>
      <w:r>
        <w:t>En l'espèce, la Cour civile a retenu que le demandeur, détenteur lésé, alors que le fardeau de la preuve lui incombait ( art. 8 CC ), n'avait pas établi que le conducteur Durussel, libéré des fins de l'action pénale diligentée à son endroit, ait commis une quelconque faute. Elle a encore constaté que la défenderesse n'avait jamais prétendu que le lésé aurait été lui-même en faute. Ces points ne sont à bon droit plus discutés et sont donc acquis.</w:t>
      </w:r>
    </w:p>
    <w:p>
      <w:r>
        <w:t>Confrontée à l'absence de faute des détenteurs et en présence de risques inhérents semblables (deux voitures), la Cour civile a pourtant fait supporter l'entier du préjudice subi par le demandeur à la défenderesse, au motif que l'assuré de celle-ci s'était porté sur la gauche en raison d'une perte de conscience, ce qui constituait un cas exceptionnel au sens de la jurisprudence susrappelée. Quoi qu'en pense l'intimée, ce raisonnement ne viole en rien le droit fédéral. Le fait pour un détenteur de se déporter sur la gauche de la route à cause d'une absence passagère de discernement constitue bel et bien une circonstance spéciale telle que l'entend l' art. 61 al. 1 LCR . L'opinion des auteurs cités dans l' ATF 123 III 274 consid. 1a/bb in fine (cf.</w:t>
      </w:r>
    </w:p>
    <w:p>
      <w:r>
        <w:t>Alfred Keller, Haftpflicht im Privatrecht, vol. II, 1ère éd., p. 169 s.; Jürg Baur, Kollision der Gefährdungshaftung gemäss SVG mit anderen Haftungen, thèse Zurich 1979, p. 82, ch. 3), qui se réfèrent tous deux à une telle occurrence, doit être suivie. Il est vrai que dans ce précédent, où un camion de lait de 12 tonnes, dont les freins avaient été mal réglés, a dévié sur la gauche pour percuter une jeep de 2 tonnes venant en sens inverse, le Tribunal fédéral a jugé que l'autorité cantonale n'avait pas abusé de son pouvoir d'appréciation en ne faisant supporter au détenteur du camion que le 90 % du dommage. Mais, comme le relève avec pertinence Alfred Keller (Haftpflicht im Privatrecht, vol. II, 2e éd, p. 194) en commentant cette jurisprudence, cela ne signifie nullement que le Tribunal fédéral aurait sanctionné la cour cantonale si elle avait admis l'entière responsabilité du détenteur du poids lourd.</w:t>
      </w:r>
    </w:p>
    <w:p>
      <w:r>
        <w:rPr>
          <w:b/>
        </w:rPr>
        <w:t>E. 3</w:t>
      </w:r>
    </w:p>
    <w:p>
      <w:r>
        <w:t>a) D'après l' art. 46 al. 1 CO , la victime de lésions corporelles a droit à la réparation du dommage qui résulte de son incapacité de travail totale ou partielle, ainsi que de l'atteinte portée à son avenir économique.</w:t>
      </w:r>
    </w:p>
    <w:p>
      <w:r>
        <w:t>Le recourant déclare d'emblée qu'il n'entend plus contester devant le Tribunal fédéral que les décisions de la cour cantonale relatives à ses prétentions en indemnisation de la perte de gain future et en réparation du tort moral.</w:t>
      </w:r>
    </w:p>
    <w:p>
      <w:r>
        <w:t>Qu'il lui en soit donné acte.</w:t>
      </w:r>
    </w:p>
    <w:p>
      <w:r>
        <w:t>b) Le dommage est une diminution involontaire de la fortune nette. Il peut consister en une réduction de l'actif, en une augmentation du passif ou dans un gain manqué; il correspond à la différence entre le montant actuel du patrimoine et le montant que celui-ci aurait atteint si l'événement dommageable ne s'était pas produit ( ATF 120 II 296 consid. 3b; 116 II 44 consid. 3a/aa). Dire qu'il y a eu dommage et quelle en est la quotité est une question de fait, soustraite à l'examen du Tribunal fédéral en instance de réforme ( ATF 123 III 241 consid. 3a; 122 III 61 consid. 2c/bb; 122 III 219 consid. 3b). C'est en revanche une question de droit que de déterminer si le juge a perdu de vue l'exigence d'un dommage au sens juridique ou a méconnu le sens de cette notion pour s'être fondé sur des critères erronés ou dénués de pertinence pour calculer le préjudice (cf. ATF 120 II 296 consid. 3b et les références).</w:t>
      </w:r>
    </w:p>
    <w:p>
      <w:r>
        <w:rPr>
          <w:b/>
        </w:rPr>
        <w:t>E. 4</w:t>
      </w:r>
    </w:p>
    <w:p>
      <w:r>
        <w:t>a) A propos du dommage futur allégué par le recourant, les magistrats vaudois ont retenu que les experts comptables et agricoles avaient apprécié différemment l'influence sur sa capacité de gain qu'a exercée l'atteinte à la santé dont il a été victime le 3 octobre 1984. Ils ont estimé que la méthode adoptée par l'expert Monribot était convaincante.</w:t>
      </w:r>
    </w:p>
    <w:p>
      <w:r>
        <w:t>De fait, pour la période antérieure à 1993 où le demandeur ne tenait pas de comptabilité, ont-ils poursuivi, l'expert s'est référé aux taxations fiscales liées à l'exploitation du domaine, lesquelles s'appuient précisément sur les normes de revenu social tirées des statistiques FAT, normes que les autres experts ont privilégiées sans pourtant les relier aux revenus imposés par le fisc. S'agissant de la période 1993/1994, l'expert Monribot a encore intégré à ses calculs les comptes établis par le demandeur. Dès lors que les méthodes de calcul des autres experts étaient trop abstraites, ce sont les données fournies par l'expert Monribot qui permettent mieux de cerner l'évolution des revenus tirés de l'exploitation. Or, depuis que le demandeur a dû abandonner l'élevage de bétail et la culture des pommes de terre dites de "consommation", les revenus cumulés du domaine suivent une tendance haussière, l'écart entre la variante B (orientation ancienne) et la variante A (orientation nouvelle) étant passé de 41 114 fr. pour la période 1989/1991 à 1628 fr. pour la période 1991/1993. La Cour civile en a déduit que cette évolution donne à penser que l'orientation actuelle de la production peut se révéler à long terme plus profitable que celle qui prévalait avant l'accident, de sorte qu'elle a admis que le demandeur n'a pas établi l'existence d'une perte de gain future.</w:t>
      </w:r>
    </w:p>
    <w:p>
      <w:r>
        <w:t>b) Le recourant élève plusieurs critiques contre le raisonnement de l'autorité cantonale, lesquelles seront examinées successivement. Il convient toutefois de lui rappeler que l'appréciation in concreto de la valeur probante d'une expertise ressortit au fait et ne peut donc pas être revue en instance de réforme ( ATF 98 II 265 consid. II/2). Certes, lorsqu'il est saisi d'un recours en réforme, le Tribunal fédéral peut rechercher si l'expert s'est laissé guider par des critères juridiquement erronés. Mais, il n'appartient pas à la juridiction fédérale de réforme de vérifier si l'expert a correctement appliqué les méthodes de calcul propres à sa spécialité et non critiquables en droit ( ATF 107 II 222 consid.</w:t>
      </w:r>
    </w:p>
    <w:p>
      <w:r>
        <w:t>II/2; arrêt non publié du 20 octobre 1986 dans la cause C.175/1986, consid. 1b).</w:t>
      </w:r>
    </w:p>
    <w:p>
      <w:r>
        <w:t>aa) Le recourant reproche à la Cour civile d'avoir accordé une importance particulière aux conclusions de l'expert Monribot. La méthode suivie par ce spécialiste ne serait pas correcte. Au lieu de se fonder sur les déclarations et taxations fiscales du demandeur ainsi que sur la comptabilité tenue par celui-ci dès 1993, Monribot aurait dû comparer entre elles les normes FAT applicables aux exploitations sans bétail (désignées par les experts Variante A) et les normes applicables aux exploitations avec bétail (dites Variante B), comme l'a fait l'expert Nicolet. A suivre le recourant, les chiffres de sa comptabilité ne sont qu'un des éléments qu'il y a lieu de prendre en compte pour apprécier le préjudice futur. Les termes de comparaison que l'expert Monribot a tirés des normes FAT seraient inopérants, car ces normes ne souffrent d'être rapprochées qu'entre elles.</w:t>
      </w:r>
    </w:p>
    <w:p>
      <w:r>
        <w:t>In casu, l'autorité cantonale a préféré l'opinion de l'expert Monribot à d'autres avis de spécialistes parce qu'elles se fondait sur des données d'espèce précises, et non pas uniquement sur des éléments fournis par la statistique.</w:t>
      </w:r>
    </w:p>
    <w:p>
      <w:r>
        <w:t>On cherche vainement en quoi, par ce choix, elle aurait pu violer le droit fédéral. En effet, le juge doit rechercher le dommage qu'a effectivement subi le lésé, ce qui signifie qu'il ne saurait se limiter à calculer abstraitement le préjudice, sans tenir compte des conditions personnelles de la victime (cf. ATF 117 II 609 consid. 9 p. 624; 113 II 345 consid. 1a p. 347). C'est précisément ce qu'a fait l'expert Monribot; pour déterminer l'évolution des revenus du domaine selon les variantes dites A et B, celui-ci s'est fondé, pour les années 1989 à 1992 où le demandeur ne tenait pas encore de comptabilité, sur les déclarations et taxations fiscales du recourant, lesquelles sont établies à partir des normes de revenu social déduites des statistiques FAT, et, pour 1993, sur les chiffres de la comptabilité du lésé. Cette méthode, qui tend à délimiter au mieux le préjudice qu'a réellement éprouvé la victime, ne saurait être qualifiée de juridiquement erronée. Du reste, le recourant reconnaît implicitement que le schématisme des données statistiques ne permet pas de rendre compte de son préjudice lorsqu'il allègue, à la page 8 de son mémoire de recours, que ses revenus "n'ont évidemment pas suivi au franc près l'évolution des normes FAT". Le grief, en tant qu'il ne relève pas de l'appréciation des preuves, est dénué de fondement.</w:t>
      </w:r>
    </w:p>
    <w:p>
      <w:r>
        <w:t>bb) Le recourant soutient que les entreprises qui ont continué l'élevage du bétail et la vente du lait sont demeurées plus prospères que les autres, malgré les soubresauts qu'a connus la politique agricole suisse. La cour cantonale aurait mis en doute cette thèse, sans être en mesure de justifier cette appréciation.</w:t>
      </w:r>
    </w:p>
    <w:p>
      <w:r>
        <w:t>Le moyen n'a rien à faire dans un recours en réforme.</w:t>
      </w:r>
    </w:p>
    <w:p>
      <w:r>
        <w:t>Le recourant ne se plaint pas d'une fausse application du droit fédéral, mais s'en prend de manière irrecevable aux motifs de la décision attaquée. A supposer qu'il invoque l'obligation pour l'autorité de motiver sa décision, déduite du droit d'être entendu, il se prévaudrait alors d'un droit de rang constitutionnel qu'il aurait dû présenter à l'appui d'un recours de droit public (art. 43 al. 1 in fine OJ). Le moyen est du reste téméraire, car la Cour civile a expliqué, in fine de son considérant III, que de nombreux agriculteurs ont renoncé à l'élevage du bétail en raison des coûts importants de main d'oeuvre générés par cette activité.</w:t>
      </w:r>
    </w:p>
    <w:p>
      <w:r>
        <w:t>cc) Le recourant prétend que c'est à tort que l'expert Monribot a pris en compte dans ses calculs les charges de structure d'un domaine qui est exploité par son propriétaire.</w:t>
      </w:r>
    </w:p>
    <w:p>
      <w:r>
        <w:t>A l'en croire, les charges devaient être appréciées sous l'angle du statut de fermier, dont il assure avoir toutes les caractéristiques.</w:t>
      </w:r>
    </w:p>
    <w:p>
      <w:r>
        <w:t>Le moyen se heurte d'emblée aux constatations souveraines des magistrats vaudois, qui ont retenu que, depuis 1991, le demandeur a la responsabilité du domaine, qu'il exploite désormais en qualité d'indépendant. A cela s'ajoute qu'appelé à se déterminer sur les constatations de l'expert David qui préconisait l'emploi en l'espèce des charges de structure valables pour les fermiers, l'expert Monribot a indiqué, dans son rapport d'expertise complémentaire du 23 septembre 1996, que l'usage de ces normes statistiques conduisait à un écart de plus de 21 % avec les charges comptabilisées en 1993 par le demandeur, alors que l'emploi des statistiques "pour propriétaire" donnait un résultat ne s'éloignant que de 1,47 % des charges résultant des comptes 1993 du demandeur. La méthode utilisée par l'expert Monribot ne prête donc nullement le flanc à la critique. Le grief est privé de tout fondement, si tant est qu'il soit recevable.</w:t>
      </w:r>
    </w:p>
    <w:p>
      <w:r>
        <w:rPr>
          <w:b/>
        </w:rPr>
        <w:t>E. 5</w:t>
      </w:r>
    </w:p>
    <w:p>
      <w:r>
        <w:t>a) L'autorité cantonale a considéré que le principe de l'allocation au demandeur d'une indemnité pour tort moral était justifié, au vu des opérations longues et douloureuses qu'il a subies, ainsi que des séquelles durables dont il souffre toujours. Elle a cependant jugé, au regard de deux décisions cantonales et d'un arrêt du Tribunal fédéral, que l'indemnité réclamée, par 50 000 fr., était excessive dans les circonstances de l'espèce. Partant, elle a octroyé au recourant la somme de 25 000 fr., montant qu'elle a réduit de 5% en raison de la faute grave constituée par l'omission de porter la ceinture de sécurité.</w:t>
      </w:r>
    </w:p>
    <w:p>
      <w:r>
        <w:t>b) Le recourant est d'avis que l'indemnité de 50 000 fr. qu'il avait requise était admissible. Rappelant qu'il est bénéficiaire d'une demi-rente de l'assurance-invalidité depuis le 1er janvier 1991, il signale que les précédent mentionnés par la Cour civile sont relativement anciens et que la tendance est à l'augmentation du montant des indemnités satisfactoires.</w:t>
      </w:r>
    </w:p>
    <w:p>
      <w:r>
        <w:t>c) Le juge peut, en tenant compte de circonstances particulières, allouer à la victime de lésions corporelles une indemnité équitable à titre de réparation morale ( art. 47 CO ). Cette indemnité a pour but exclusif de compenser le préjudice que représente une atteinte au bien-être. Le principe d'une indemnisation du tort moral et l'ampleur de la réparation dépendent d'une manière décisive de la gravité de l'atteinte et de la possibilité d'adoucir de façon sensible, par le versement d'une somme d'argent, la douleur physique ou morale ( ATF 123 III 306 consid. 9b p. 315; 118 II 404 consid. 3 b/aa; 116 II 733 consid. 4f; 115 II 156 consid. 2). La fixation de l'indemnité satisfactoire relève de l'appréciation du juge. Il s'agit d'une question de droit qui peut être revue en instance de réforme. Le Tribunal fédéral ne l'examine toutefois qu'avec retenue ( ATF 123 III 306 consid. 9b p. 315; 118 II 404 consid. 3b/bb; 117 II 50 consid. 4a/aa; 116 II 295 consid. 5a). Il n'intervient que lorsque l'autorité cantonale s'écarte sans motifs des critères fixés par la doctrine et la jurisprudence, prend en considération des faits sans pertinence ou, au contraire, ignore ceux qu'elle aurait dû considérer ou encore lorsque, dans son résultat, la somme allouée apparaît manifestement inéquitable ou choquante. Plus spécialement quant au montant, il faut se garder de comparaisons schématiques avec d'autres causes, les circonstances de chaque cas d'espèce étant déterminantes ( ATF 123 III 306 consid. 9b p. 315).</w:t>
      </w:r>
    </w:p>
    <w:p>
      <w:r>
        <w:t>d) In casu, les juges cantonaux n'ont pas abusé de leur pouvoir d'appréciation. Ils ont fait état des souffrances endurées par le demandeur, des nombreuses hospitalisations qu'il a subies et des séquelles physiques de l'accident, lesquelles entraînent une réduction de la capacité de travail que les médecins avaient estimée à 50 % en 1990.</w:t>
      </w:r>
    </w:p>
    <w:p>
      <w:r>
        <w:t>Enfin, le montant alloué par la cour cantonale se tient dans le cadre des indemnités accordées par la jurisprudence fédérale et cantonale en matière d'atteinte permanente à l'intégrité corporelle (cf. les exemples plus ou moins comparables cités par Klaus Hütte/Petra Ducksch, Die Genugtuung, 3e éd., état: février 1999):</w:t>
      </w:r>
    </w:p>
    <w:p>
      <w:r>
        <w:t>- blessure au genou</w:t>
      </w:r>
    </w:p>
    <w:p>
      <w:r>
        <w:t>fracture du tibia</w:t>
      </w:r>
    </w:p>
    <w:p>
      <w:r>
        <w:t>risque d'arthrose post-traumatique</w:t>
      </w:r>
    </w:p>
    <w:p>
      <w:r>
        <w:t>invalidité de 25 à 50%</w:t>
      </w:r>
    </w:p>
    <w:p>
      <w:r>
        <w:t>(VIII/7 1987-1989, no 21) 16'500 fr.</w:t>
      </w:r>
    </w:p>
    <w:p>
      <w:r>
        <w:t>- musculature de la jambe gauche</w:t>
      </w:r>
    </w:p>
    <w:p>
      <w:r>
        <w:t>définitivement atteinte</w:t>
      </w:r>
    </w:p>
    <w:p>
      <w:r>
        <w:t>douleurs à vie</w:t>
      </w:r>
    </w:p>
    <w:p>
      <w:r>
        <w:t>invalidité de 50%</w:t>
      </w:r>
    </w:p>
    <w:p>
      <w:r>
        <w:t>(VIII/9 1990-1994, no 23) 20'000 fr.</w:t>
      </w:r>
    </w:p>
    <w:p>
      <w:r>
        <w:t>- fracture du tibia et du péroné</w:t>
      </w:r>
    </w:p>
    <w:p>
      <w:r>
        <w:t>luxation de l'épaule, traumatisme</w:t>
      </w:r>
    </w:p>
    <w:p>
      <w:r>
        <w:t>crânien, courte amnésie, complications,</w:t>
      </w:r>
    </w:p>
    <w:p>
      <w:r>
        <w:t>troubles de la mémoire</w:t>
      </w:r>
    </w:p>
    <w:p>
      <w:r>
        <w:t>invalidité de 25 %</w:t>
      </w:r>
    </w:p>
    <w:p>
      <w:r>
        <w:t>(VIII/23 1995-1997, no 19b) 25'000 fr.</w:t>
      </w:r>
    </w:p>
    <w:p>
      <w:r>
        <w:t>- syndrome de type "coup du lapin",</w:t>
      </w:r>
    </w:p>
    <w:p>
      <w:r>
        <w:t>instabilité de la colonne</w:t>
      </w:r>
    </w:p>
    <w:p>
      <w:r>
        <w:t>cervicale, douleurs persistantes</w:t>
      </w:r>
    </w:p>
    <w:p>
      <w:r>
        <w:t>invalidité de 50% dans la profession</w:t>
      </w:r>
    </w:p>
    <w:p>
      <w:r>
        <w:t>et de 20% dans la tenue du ménage</w:t>
      </w:r>
    </w:p>
    <w:p>
      <w:r>
        <w:t>(VIII/8 1998 ff., no 17) 30'000 fr.</w:t>
      </w:r>
    </w:p>
    <w:p>
      <w:r>
        <w:t>Il suit de là que l'indemnité de 25 000 fr. octroyée par la Cour civile doit être approuvée. Le Tribunal fédéral confirmera également la réduction de 5% pour faute concomitante du lésé, qui ne fait d'ailleurs l'objet d'aucune critique.</w:t>
      </w:r>
    </w:p>
    <w:p>
      <w:r>
        <w:rPr>
          <w:b/>
        </w:rPr>
        <w:t>E. 6</w:t>
      </w:r>
    </w:p>
    <w:p>
      <w:r>
        <w:t>En définitive, le recours en réforme doit être rejeté dans la mesure de sa recevabilité, le jugement attaqué étant confirmé. Comme tous les griefs du recourant pouvaient être examinés en instance de réforme, son recours en nullité est irrecevable (art. 68 al. 1 in initio OJ).</w:t>
      </w:r>
    </w:p>
    <w:p>
      <w:r>
        <w:t>Les frais et dépens doivent être mis à la charge du recourant qui succombe ( art. 156 al. 1 et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