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4C.166/2004 vom 16. September 2004</w:t>
      </w:r>
    </w:p>
    <w:p>
      <w:r>
        <w:t>Bundesgericht, 2004-09-16, FR</w:t>
      </w:r>
    </w:p>
    <w:p>
      <w:r>
        <w:rPr>
          <w:b/>
        </w:rPr>
        <w:t xml:space="preserve">Quelle: </w:t>
      </w:r>
      <w:r>
        <w:t>https://mcp.opencaselaw.ch/entscheid/bger_4C.166_2004</w:t>
      </w:r>
    </w:p>
    <w:p>
      <w:r>
        <w:t>FR: TF 4C.166/2004 du 16 septembre 2004</w:t>
      </w:r>
    </w:p>
    <w:p>
      <w:r>
        <w:t>IT: TF 4C.166/2004 del 16 settembre 2004</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 Le Tribunal fédéral peut donc rejeter un recours en opérant une substitution de motifs, c'est-à-dire en adoptant une autre argumentation juridique que celle retenue par la cour cantonale ( ATF 130 III 136 consid. 1.4 in fine).</w:t>
      </w:r>
    </w:p>
    <w:p>
      <w:r>
        <w:rPr>
          <w:b/>
        </w:rPr>
        <w:t>E. 2</w:t>
      </w:r>
    </w:p>
    <w:p>
      <w:r>
        <w:t>L'autorité cantonale pouvait se référer en bloc aux constatations de fait du Tribunal des baux.</w:t>
      </w:r>
    </w:p>
    <w:p>
      <w:r>
        <w:t>Une telle manière de procéder - qui semble une nouvelle pratique de la Chambre des recours -, quand bien même elle ne facilite pas la tâche du Tribunal fédéral, est admissible si le jugement de première instance satisfait aux exigences de l' art. 51 al. 1 let . c OJ (cf. ATF 119 II 478 consid. 1d, qui se réfère à Poudret, COJ II, n. 1 ad art. 51 OJ , p. 361).</w:t>
      </w:r>
    </w:p>
    <w:p>
      <w:r>
        <w:t>Tel est le cas en l'espèce, l'état de fait dressé par les premiers juges étant complet.</w:t>
      </w:r>
    </w:p>
    <w:p>
      <w:r>
        <w:rPr>
          <w:b/>
        </w:rPr>
        <w:t>E. 3</w:t>
      </w:r>
    </w:p>
    <w:p>
      <w:r>
        <w:t>En substance, la recourante fait grief à la Chambre des recours:</w:t>
      </w:r>
    </w:p>
    <w:p>
      <w:r>
        <w:t>- d'avoir admis l'existence d'une reprise de dette interne entre C.________ et D.________;</w:t>
      </w:r>
    </w:p>
    <w:p>
      <w:r>
        <w:t>- d'avoir enfreint l' art. 243 CO pour avoir perdu de vue qu'une reprise de dette concédée à titre gratuit est soumise à la forme écrite;</w:t>
      </w:r>
    </w:p>
    <w:p>
      <w:r>
        <w:t>- d'avoir retenu qu'il y avait eu reprise de dette externe selon l' art. 176 CO passée par actes concluants, les faits constatés ne permettant pas d'aboutir à une telle solution;</w:t>
      </w:r>
    </w:p>
    <w:p>
      <w:r>
        <w:t>- d'avoir dénié toute application de l' art. 68 CO pour avoir refusé de considérer que les paiements effectués par D.________ puissent avoir été effectués par intervention, sans qu'ils impliquent une reprise globale de toutes les dettes, actuelles ou futures, incombant à C.________;</w:t>
      </w:r>
    </w:p>
    <w:p>
      <w:r>
        <w:t>- d'avoir considéré comme une offre un document qui n'en avait pas les caractéristiques, en violation des art. 3 et 5 CO ;</w:t>
      </w:r>
    </w:p>
    <w:p>
      <w:r>
        <w:t>- d'avoir méconnu l' art. 8 CC en retenant l'existence d'une reprise de dette sans exiger de la partie qui l'invoquait la preuve de son existence.</w:t>
      </w:r>
    </w:p>
    <w:p>
      <w:r>
        <w:rPr>
          <w:b/>
        </w:rPr>
        <w:t>E. 4.1</w:t>
      </w:r>
    </w:p>
    <w:p>
      <w:r>
        <w:t>Il n'est pas contesté que les relations juridiques à l'origine du présent litige se rapportent à un contrat de bail ayant pour objet des locaux commerciaux.</w:t>
      </w:r>
    </w:p>
    <w:p>
      <w:r>
        <w:rPr>
          <w:b/>
        </w:rPr>
        <w:t>E. 4.2</w:t>
      </w:r>
    </w:p>
    <w:p>
      <w:r>
        <w:t>A titre liminaire, on peut remarquer que Y.________ étant devenue l'unique propriétaire de la parcelle Z.________ à la suite des faillites de A.________ SA et B.________ SA, sociétés dont elle a acquis les parts de copropriété, les baux conclus les 4 octobre 1994 et 30 novembre 1995 ont été, en vertu de l' art. 261 al. 1 CO , transférés à l'intimée, qui en est devenue le seul bailleur (David Lachat, Commentaire romand, n. 2 ad art. 261 CO ).</w:t>
      </w:r>
    </w:p>
    <w:p>
      <w:r>
        <w:t>Ainsi, Y.________ disposait bien de la légitimation active - question qui doit être examinée d'office ( ATF 126 III 59 consid. 1a p. 63) - pour actionner D.________ relativement à ces deux baux.</w:t>
      </w:r>
    </w:p>
    <w:p>
      <w:r>
        <w:t>Il n'y a aucun problème de qualité pour agir en ce qui concerne le bail du 26 novembre 1997, dès lors qu'il a été conclu à l'origine par la seule société Y.________.</w:t>
      </w:r>
    </w:p>
    <w:p>
      <w:r>
        <w:rPr>
          <w:b/>
        </w:rPr>
        <w:t>E. 4.3</w:t>
      </w:r>
    </w:p>
    <w:p>
      <w:r>
        <w:t>D.________ a été dissoute le 26 juin 1998 pour être absorbée, dans le cadre d'une fusion, par la société E.________ AG, devenue X.________ AG après changement de raison sociale.</w:t>
      </w:r>
    </w:p>
    <w:p>
      <w:r>
        <w:t>Il n'en est résulté aucune liquidation de D.________, qui a ainsi été reprise par la recourante (Peter Forstmoser/Arthur Meier-Hayoz/PeterNobel, Schweizerisches Aktienrecht, 1996, § 57 n. 9, p. 874). Par conséquent, tous les actifs et passifs, droits et obligations ayant trait à D.________ ont été transférés à la défenderesse sur la base d'une succession universelle, au point que celle-ci s'est trouvée dans la même situation qu'un héritier à qui est dévolu une succession (Forstmoser/Meier-Hayoz/Nobel, op. cit., § 57 n. 10, p. 874).</w:t>
      </w:r>
    </w:p>
    <w:p>
      <w:r>
        <w:t>Ainsi, la recourante est bien revêtue de la légitimation passive quant au solde de loyers réclamé à D.________.</w:t>
      </w:r>
    </w:p>
    <w:p>
      <w:r>
        <w:rPr>
          <w:b/>
        </w:rPr>
        <w:t>E. 5.1</w:t>
      </w:r>
    </w:p>
    <w:p>
      <w:r>
        <w:t>D'après l'état de fait déterminant, il appert qu'à partir du 26 octobre 1995, D.________ s'est acquittée, sans restrictions ni réserves, des loyers dus par C.________.</w:t>
      </w:r>
    </w:p>
    <w:p>
      <w:r>
        <w:t>Cette manière de procéder n'a donné lieu à aucune contestation de la part de Y.________. Le représentant du bailleur en charge de la gestion de l'immeuble considérait du reste que C.________ et D.________ formaient une même entité.</w:t>
      </w:r>
    </w:p>
    <w:p>
      <w:r>
        <w:t>A cela s'ajoute que, le 15 décembre 1997, c'est D.________ qui a manifesté son intention de résilier les baux concernant C.________ pour le 31 mars 1998, ce qui a suscité une réaction des sociétés propriétaires, lesquelles ont relevé que le locataire des locaux était toujours C.________.</w:t>
      </w:r>
    </w:p>
    <w:p>
      <w:r>
        <w:t>Néanmoins, un rappel a été adressé le 6 mars 1998 à D.________ pour le paiement des loyers de janvier et février 1998 et d'un supplément de frais de chauffage relatif à l'année 1997. D.________ ne s'est aucunement élevée contre cette interpellation.</w:t>
      </w:r>
    </w:p>
    <w:p>
      <w:r>
        <w:t>Enfin, à la suite de la réclamation qui a été adressée le 2 avril 1998 par Y.________ tant à D.________ qu'à C.________ en raison de la façon dont les locaux avaient été restitués, D.________ a payé le 17 avril 1998, sans formuler la moindre réserve quant au rôle qu'elle jouait, un acompte de 8'539 fr. 50.</w:t>
      </w:r>
    </w:p>
    <w:p>
      <w:r>
        <w:rPr>
          <w:b/>
        </w:rPr>
        <w:t>E. 5.2.1</w:t>
      </w:r>
    </w:p>
    <w:p>
      <w:r>
        <w:t>Il ressort de ce rappel des faits que D.________ s'est acquittée pendant une longue période (i.e. plus de deux ans) des loyers dus par C.________.</w:t>
      </w:r>
    </w:p>
    <w:p>
      <w:r>
        <w:t>Dans un tel contexte, qui n'est pas banal en droit du bail, il convient manifestement de se demander s'il n'y a pas eu en l'occurrence, quant aux loyers dus par C.________, reprise cumulative des dettes de celle-ci par D.________, en lieu et place de la reprise privative de dette retenue par les juges vaudois et critiquée par la recourante.</w:t>
      </w:r>
    </w:p>
    <w:p>
      <w:r>
        <w:t>En effet, il apparaît que D.________ a fait bien plus que simplement s'entremettre pour payer la dette de C.________. Son rôle a sans conteste dépassé le cadre d'une intervention au sens de l' art. 68 CO , qui vise les cas où une personne ne fait que payer, sans la reprendre, la dette d'un tiers sur la base d'un contrat ou d'un quasi-contrat intervenant entre le tiers et le débiteur, le plus souvent sous forme d'un mandat ou d'une gestion d'affaires, voire d'une donation (Pierre Engel, Traité des obligations en droit suisse, 2e éd., p. 612 et 613).</w:t>
      </w:r>
    </w:p>
    <w:p>
      <w:r>
        <w:t>De toute manière, l' art. 68 CO n'est pas applicable in casu, dans la mesure où cette disposition concerne uniquement l'intérêt que peut avoir le créancier à l'exécution personnelle de la dette par le débiteur, et non point l'exécution de l'obligation par un tiers (Fabienne Hohl, Commentaire romand, n. 3 ad art. 68 CO ).</w:t>
      </w:r>
    </w:p>
    <w:p>
      <w:r>
        <w:rPr>
          <w:b/>
        </w:rPr>
        <w:t>E. 5.2.2</w:t>
      </w:r>
    </w:p>
    <w:p>
      <w:r>
        <w:t>Non réglementée par la loi, la reprise cumulative de dette, acte non formel, est fondée sur la liberté contractuelle; un tiers, que l'on appelle également le reprenant, se constitue débiteur aux côtés de l'obligé, de sorte que le créancier est désormais en présence de deux débiteurs solidaires ( ATF 129 III 702 consid. 2.1 p. 704; Engel, op. cit., p. 902).</w:t>
      </w:r>
    </w:p>
    <w:p>
      <w:r>
        <w:t>Une telle figure juridique peut découler d'une convention conclue par le débiteur et le reprenant en faveur du créancier ou d'une convention entre ce dernier et le reprenant.</w:t>
      </w:r>
    </w:p>
    <w:p>
      <w:r>
        <w:t>Pour qu'une reprise cumulative de dette soit admise en vertu d'un accord entre le débiteur et le reprenant, il n'est pas nécessaire que le créancier donne son accord dans la mesure où il ne lui est imposé ni obligation ni charge; il s'agit d'une stipulation pour autrui et le créancier demeure libre de refuser l'attribution qui lui est faite.</w:t>
      </w:r>
    </w:p>
    <w:p>
      <w:r>
        <w:t>De même, dans l'hypothèse d'une convention entre le créancier et le reprenant, le consentement du débiteur n'est pas requis pour le motif que sa situation n'est pas aggravée du fait de l'adhésion du reprenant, l'accord du débiteur ne devenant nécessaire que si le reprenant entrait dans le contrat principal conclu entre le créancier et le débiteur, de sorte que cet acte devrait être modifié (Engel, op. cit., p. 902 et 903).</w:t>
      </w:r>
    </w:p>
    <w:p>
      <w:r>
        <w:t>En revanche, dans le cas d'une reprise privative de dette, qui suppose un accord entre les trois parties concernées, le débiteur est libéré de son obligation par l'intervention du reprenant qui devient débiteur en son lieu et place; elle suppose, outre un accord entre le débiteur et le reprenant (reprise de dette interne), un contrat conclu par celui-ci et le créancier (reprise de dette externe), dont le consentement est nécessaire par le fait que le débiteur primitif sera libéré (Engel, op. cit., p. 896 et 897); ce dernier contrat est en principe non formel (Thomas Probst, Commentaire romand, n. 4 ad art. 176 CO ).</w:t>
      </w:r>
    </w:p>
    <w:p>
      <w:r>
        <w:t>En cas de doute entre ces deux figures de reprise de dette, il faut recourir aux règles d'interprétation des contrats, aucune présomption n'existant en faveur de l'une ou de l'autre (Engel, op. cit., p. 903). A cette fin, il y a lieu de se référer au principe de la confiance (Peter Gauch/Walter R. Schluep/Jörg Schmid/Heinz Rey,, Schweizerisches Obligationenrecht, Allgemeiner Teil, 8e éd., n. 3845 p. 309), question de droit que le Tribunal fédéral peut examiner librement ( ATF 130 III 417 consid. 3.2 p. 425; 129 III 702 consid. 2.4 p. 707).</w:t>
      </w:r>
    </w:p>
    <w:p>
      <w:r>
        <w:t>Pour résoudre cette question, il faut se fonder sur le contenu des manifestations de volonté et sur les circonstances, lesquelles relèvent des faits ( ATF 130 III 417 consid. 3.2 p. 425; 129 III 118 consid. 2.5 p. 123). Le juge doit donc rechercher comment une déclaration ou une attitude pouvait être comprise de bonne foi en fonction de l'ensemble des circonstances ( ATF 130 III 417 consid. 3.2; 129 III 702 consid. 2.4 p. 707).</w:t>
      </w:r>
    </w:p>
    <w:p>
      <w:r>
        <w:rPr>
          <w:b/>
        </w:rPr>
        <w:t>E. 5.3</w:t>
      </w:r>
    </w:p>
    <w:p>
      <w:r>
        <w:t>D'après les éléments de fait rappelés ci-dessus, il faut admettre que, de bonne foi, le comportement concluant de D.________ impliquait une reprise cumulative de dette, en ce sens que celle-ci s'est portée débitrice, aux côtés de C.________, des loyers dus à l'intimée.</w:t>
      </w:r>
    </w:p>
    <w:p>
      <w:r>
        <w:t>En effet, D.________ a non seulement, durant une longue période, assuré le paiement des loyers incombant à C.________, mais elle a encore manifesté son intention d'être partie prenante au sort des baux intéressant cette autre société en dénonçant ceux-ci le 15 décembre 1997.</w:t>
      </w:r>
    </w:p>
    <w:p>
      <w:r>
        <w:t>Cette circonstance atteste l'intérêt propre et marqué que D.________ avait à l'exécution de l'obligation de paiement incombant à C.________, société dont elle avait pris le contrôle dès le 31 décembre 1995 et maintenait le cadre d'actions, bien que l'activité propre de C.________ ait été réduite au strict minimum. Or, l'intérêt économique du reprenant constitue bien l'élément caractéristique de la reprise cumulative de dette (cf. arrêt 4C.191/1999 du 22 septembre 1999 consid. 1a, in SJ 2000 I p. 307; cf. Probst, op. cit., n. 11 ad Intro. art. 175-183 CO ).</w:t>
      </w:r>
    </w:p>
    <w:p>
      <w:r>
        <w:t>On ne voit pas comment l'intimée aurait pu objectivement attribuer une autre signification à l'attitude de D.________, dès l'instant où celle-ci, jusqu'en avril 1998, s'est pliée sans réserve aux requêtes de la bailleresse.</w:t>
      </w:r>
    </w:p>
    <w:p>
      <w:r>
        <w:t>Il n'est pas inutile de rappeler à la recourante que le principe de la confiance permet d'imputer à une partie le sens objectif de son comportement, même s'il ne correspond pas à sa volonté intime ( ATF 130 III 417 consid. 3.2).</w:t>
      </w:r>
    </w:p>
    <w:p>
      <w:r>
        <w:t>Autrement dit, D.________ doit se laisser opposer l'attitude concluante qu'elle a adoptée, laquelle signifiait sans doute possible qu'elle était également débitrice des loyers dus primitivement par C.________ seulement.</w:t>
      </w:r>
    </w:p>
    <w:p>
      <w:r>
        <w:t>Va enfin à l'encontre de la thèse de la reprise privative de dette la circonstance que la demanderesse s'est adressée le 2 avril 1998 tant à C.________ qu'à D.________ pour obtenir le versement d'un solde de loyers de 16'009 fr.50.</w:t>
      </w:r>
    </w:p>
    <w:p>
      <w:r>
        <w:t>Comme la théorie de la confiance permet de retenir que l'intimée a pu considérer de bonne foi que D.________ s'était portée débitrice des loyers litigieux en vertu d'une reprise cumulative de dette, peu importe que C.________ ait donné ou non son accord à cette intercession (cf. consid. 5.2.2 ci-dessus).</w:t>
      </w:r>
    </w:p>
    <w:p>
      <w:r>
        <w:t>Devenue coobligée de C.________ du point de vue des loyers dus à la demanderesse, D.________ était également tenue de verser l'indemnité pour résiliation anticipée des baux pouvant être réclamée à C.________. En effet, la reprise cumulative de dette n'implique aucun changement de débiteur, mais un renforcement de la situation du créancier qui a désormais en face de lui deux débiteurs solidaires (Gauch/Schluep/Schmid/Rey, op. cit., n. 3846 p. 309). Et la prétention du bailleur en cas de résiliation anticipée du contrat demeure une créance de loyer (Lachat, op. cit., n. 11 ss ad art. 264 CO ).</w:t>
      </w:r>
    </w:p>
    <w:p>
      <w:r>
        <w:rPr>
          <w:b/>
        </w:rPr>
        <w:t>E. 6</w:t>
      </w:r>
    </w:p>
    <w:p>
      <w:r>
        <w:t>Le grief tiré de la violation de l' art. 8 CC est dénué de fondement. Sur la base d'une appréciation des preuves, la cour cantonale a été convaincue que D.________ avait repris la dette de C.________, certes sur la base d'une reprise privative de dette, ce qui ne change rien quant au résultat consacré par le présent arrêt. L' art. 8 CC ne dictant pas comment le juge peut forger sa conviction ( ATF 127 III 519 consid. 2a et les arrêts cités), l'appréciation des faits à laquelle a procédé l'autorité cantonale ne peut être considérée à la lumière de l' art. 8 CC qui ne trouve donc plus application.</w:t>
      </w:r>
    </w:p>
    <w:p>
      <w:r>
        <w:rPr>
          <w:b/>
        </w:rPr>
        <w:t>E. 7</w:t>
      </w:r>
    </w:p>
    <w:p>
      <w:r>
        <w:t>En conclusion, le recours doit être rejeté, l'arrêt attaqué étant confirmé par substitution de motifs. Compte tenu de l'issue de la cause,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