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4C.162/1999 vom 27. Oktober 2000</w:t>
      </w:r>
    </w:p>
    <w:p>
      <w:r>
        <w:t>Bundesgericht, 2000-10-27, DE</w:t>
      </w:r>
    </w:p>
    <w:p>
      <w:r>
        <w:rPr>
          <w:b/>
        </w:rPr>
        <w:t xml:space="preserve">Quelle: </w:t>
      </w:r>
      <w:r>
        <w:t>https://mcp.opencaselaw.ch/entscheid/bger_4C.162_1999</w:t>
      </w:r>
    </w:p>
    <w:p>
      <w:r>
        <w:t>FR: TF 4C.162/1999 du 27 octobre 2000</w:t>
      </w:r>
    </w:p>
    <w:p>
      <w:r>
        <w:t>IT: TF 4C.162/1999 del 27 ottobre 2000</w:t>
      </w:r>
    </w:p>
    <w:p>
      <w:pPr>
        <w:pStyle w:val="Heading2"/>
      </w:pPr>
      <w:r>
        <w:t>Erwägungen</w:t>
      </w:r>
    </w:p>
    <w:p>
      <w:r>
        <w:rPr>
          <w:b/>
        </w:rPr>
        <w:t>E. 1</w:t>
      </w:r>
    </w:p>
    <w:p>
      <w:r>
        <w:t>Die Beklagten bringen vor, die Begründung der Vorinstanz verstosse gegen Art. 51 Abs. 1 lit. c OG .</w:t>
      </w:r>
    </w:p>
    <w:p>
      <w:r>
        <w:t>a) Gemäss Art. 51 Abs. 1 lit. c OG hat die kantonale Behörde das Ergebnis ihrer Beweisführung im Entscheid festzustellen. Ob diese Voraussetzung erfüllt ist, prüft das Bundesgericht von Amtes wegen, und zwar vor der Eintretensfrage ( BGE 119 II 478 E. 1c S. 480; Poudret, COJ II, N. 1 zu Art. 51 OG , S. 361). Eine Rückweisung nach Art. 52 OG hat zu erfolgen, wenn die erhobenen Beweise nicht ausreichend klar und vollständig gewürdigt worden sind, so dass die Bundesrechtsnormen aufgrund des festgestellten Sachverhalts nicht angewendet werden können ( BGE 110 II 123 E. 3d S. 135; Poudret, COJ II, N. 4 zu Art. 51 OG und N. 3 zu Art. 52 OG ; Messmer/Imboden, Die eidgenössischen Rechtsmittel in Zivilsachen, S. 169 Fn. 37).</w:t>
      </w:r>
    </w:p>
    <w:p>
      <w:r>
        <w:t>b) Wird in der Berufung selbst ein Vorgehen nach Art. 51 f. OG beantragt, so muss dargetan werden, dass der Mangel den Sachentscheid beeinflusst hat ( BGE 119 II 478 E. 1c S. 480; Messmer/Imboden, Die eidgenössischen Rechtsmittel in Zivilsachen, S. 154 mit Fn. 25). Die Einwände der Beklagten genügen diesem Erfordernis nicht. Sie bemängeln zwar, dass der Sachverhalt unvollständig festgestellt worden sei, was bei gehöriger und begründeter Rüge allenfalls zu einer Rückweisung nach Art. 64 OG führen könnte (Poudret, COJ II, N. 4 zu Art. 51 OG , S. 366). In Bezug auf die geltend gemachte Verletzung von Art. 51 Abs. 1 lit. c OG unterlassen sie jedoch bereits die Angabe der Beweismittel, welche nach ihrer Auffassung von der Vorinstanz unklar oder unvollständig gewürdigt worden sind. Sie können deshalb auch nicht aufzeigen, dass der von ihnen gerügte Mangel einen Einfluss auf den Entscheid hatte. Auf die entsprechende Rüge ist demnach nicht einzutreten; für eine Aufhebung des angefochtenen Entscheides von Amtes wegen, die eine ulitma ratio darstellt und auf welche die Parteien keinen Anspruch haben (Poudret, COJ II, N. 3 zu Art. 52 OG , S. 372), besteht kein Anlass.</w:t>
      </w:r>
    </w:p>
    <w:p>
      <w:r>
        <w:t>c) Die Vorinstanz kam in Würdigung der von den Parteien eingereichten Beweismittel zum Schluss, dass die am 3. August 1990 gegründete einfache Gesellschaft per 3. April 1992 durch Übereinkunft aufgelöst worden sei. Aus der Liquidation der einfachen Gesellschaft resultiere ein Guthaben zugunsten der Kläger von Fr. 548.811.98. Dabei brachte das Obergericht mit der Wendung, die Sache sei spruchreif und es bedürfe keiner Durchführung eines Beweisverfahrens sinngemäss zum Ausdruck, dass auch die Abnahme zusätzlicher Beweise an seiner aufgrund der Akten gewonnenen Überzeugung nichts mehr zu ändern vermöchte.</w:t>
      </w:r>
    </w:p>
    <w:p>
      <w:r>
        <w:t>Nach den Feststellungen des Obergerichts waren sich die Parteien darüber einig, dass sie die einfache Gesellschaft nicht mehr zusammen weiterführen wollten. Die Beklagten machen nicht geltend, dass auf der Grundlage des von der Vorinstanz festgestellten Sachverhalts eine Bundesrechtsverletzung vorliegen würde. Sie bestreiten insbesondere zu Recht nicht, dass die einfache Gesellschaft nicht mehr weitergeführt werden konnte, nachdem die Kläger ausgeschieden waren.</w:t>
      </w:r>
    </w:p>
    <w:p>
      <w:r>
        <w:rPr>
          <w:b/>
        </w:rPr>
        <w:t>E. 2</w:t>
      </w:r>
    </w:p>
    <w:p>
      <w:r>
        <w:t>Gemäss Art. 43 OG kann mit Berufung geltend gemacht werden, der angefochtene Entscheid beruhe auf Verletzung des Bundesrechts mit Einschluss der durch den Bund abgeschlossenen völkerrechtlichen Verträge. Die Berufung steht weder für die Rüge der Verletzung verfassungsmässiger Rechte ( Art. 43 Abs. 1 OG Satz 2) noch des Verstosses gegen kantonales Recht zur Verfügung, weshalb auf die entsprechenden Vorbringen nicht eingetreten werden kann. Dies gilt namentlich für die Rüge der Verletzung wesentlicher kantonaler Verfahrensgrundsätze durch die Vorinstanz sowie für die Vorbringen, mit welchen eine Verletzung verfassungsmässiger Rechte - namentlich des Verfassungsgrundsatzes von Treu und Glauben ( Art. 9 BV ), des Willkürverbotes ( Art. 9 BV ) und des Anspruchs auf rechtliches Gehör ( Art. 29 Abs. 2 BV ) - geltend gemacht wird.</w:t>
      </w:r>
    </w:p>
    <w:p>
      <w:r>
        <w:rPr>
          <w:b/>
        </w:rPr>
        <w:t>E. 3</w:t>
      </w:r>
    </w:p>
    <w:p>
      <w:r>
        <w:t>a) aa) Gemäss Art. 55 Abs. 1 lit. c OG muss in der Berufungsschrift dargelegt werden, welche Bundesrechtssätze und inwiefern sie durch den angefochtenen Entscheid verletzt worden sind. Unerlässlich ist dabei, dass die Berufung auf die Begründung des angefochtenen Urteils eingeht. Allgemein gehaltene Einwände, die ohne aufgezeigten oder erkennbaren Zusammenhang mit bestimmten Entscheidungsgründen der Vorinstanz vorgebracht werden, genügen diesen Anforderungen nicht ( BGE 116 II 745 E. 3 S. 748/9 mit Hinweisen).</w:t>
      </w:r>
    </w:p>
    <w:p>
      <w:r>
        <w:t>bb)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368 E. 3 S. 372, 193 E. 1e S. 205; 123 III 110 E. 2 S. 111; 115 II 484 E. 2a S. 485/6).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126 III 10 E. 2b S. 12; 120 II 97 E. 2b S. 99; 119 II 84 E. 3 S. 85; 115 II 484 E. 2a S. 485/6 mit Hinweisen).</w:t>
      </w:r>
    </w:p>
    <w:p>
      <w:r>
        <w:t>b) aa) Die Berufung der Kläger stimmt über weite Strecken wörtlich mit der gegen das angefochtene Urteil eingereichten kantonalen Nichtigkeitsbeschwerde sowie - jedenfalls teilweise - mit der konnexen staatsrechtlichen Beschwerde überein, die gegen das in vorliegender Streitsache ergangene Urteil des Kassationsgerichts des Kantons Zürich erhoben wurde. Nach der bundesgerichtlichen Rechtsprechung sind verschiedene Rechtsmittel zwar nicht schon wegen ihrer gleichlautenden Begründung unzulässig. Zufolge der Verflechtung nicht offenkundig aufscheinende und nicht eindeutig zugeordnete Vorbringen werden jedoch vom Bundesgericht übergangen ( BGE 118 IV 293 E. 2a S. 294/5; 116 II 745 E. 2).</w:t>
      </w:r>
    </w:p>
    <w:p>
      <w:r>
        <w:t>bb) Auf den Seiten 11 bis 42 der 58 Seiten umfassenden Berufung stellen die Beklagten die gesamte Streitsache und ihre Rechtsstandpunkte ausführlich aus ihrer Sicht</w:t>
      </w:r>
    </w:p>
    <w:p>
      <w:r>
        <w:t>dar. Wenn sie dabei darlegen, sie begännen "im Rahmen dieser Berufung mit einer gerafften Sachverhaltsschilderung nochmals von vorn", verkennen sie das Wesen der eidgenössischen Berufung, denn ihre Ausführungen missachten nicht nur die grundsätzliche Bindung des Bundesgerichts an die tatsächlichen Feststellungen der Vorinstanz, sondern setzen sich auch nicht in rechtsgenüglicher Weise mit der Begründung des angefochtenen Urteils auseinander. Darauf ist nicht einzutreten.</w:t>
      </w:r>
    </w:p>
    <w:p>
      <w:r>
        <w:t>cc) Soweit die Beklagten geltend machen, es liege ein offensichtliches Versehen vor oder der Sachverhalt sei zu ergänzen, genügen ihre Vorbringen den Begründungsanforderungen nicht. In Bezug auf die Versehensrüge fehlt bereits jeglicher Hinweis darauf, welche Aktenstelle von der Vorinstanz übersehen worden sein soll. Aus den Ausführungen zum angeblich lückenhaften Sachverhalt geht sodann nicht hervor, welche konkreten, rechtserheblichen Sachbehauptungen im kantonalen Verfahren prozesskonform aufgestellt, jedoch von der Vorinstanz zu Unrecht für unerheblich gehalten wurden. Auf die beiden Rügen ist demnach nicht einzutreten.</w:t>
      </w:r>
    </w:p>
    <w:p>
      <w:r>
        <w:rPr>
          <w:b/>
        </w:rPr>
        <w:t>E. 4</w:t>
      </w:r>
    </w:p>
    <w:p>
      <w:r>
        <w:t>Nach Auffassung der Beklagten hat die Vorinstanz</w:t>
      </w:r>
    </w:p>
    <w:p>
      <w:r>
        <w:t>Art. 8 ZGB verletzt, weil gar nie ein Beweisverfahren stattgefunden habe.</w:t>
      </w:r>
    </w:p>
    <w:p>
      <w:r>
        <w:t>a) Art. 8 ZGB regelt zunächst die Verteilung der Beweislast, hat durch die Rechtsprechung darüber hinaus jedoch die Bedeutung einer allgemeinen bundesrechtlichen Beweisvorschrift erhalten. Das Bundesgericht leitet aus Art. 8 ZGB als Korrelat zur Beweislast insbesondere das Recht der beweisbelasteten Partei ab, zum ihr obliegenden Beweis zugelassen zu werden. Zu beachten ist aber, dass dieser bundesrechtliche Beweisführungsanspruch nur für rechtserhebliche Tatsachen besteht und die vorweggenommene Würdigung von Beweisen nicht ausschliesst ( BGE 126 III 315 E. 4a S. 317 mit Hinweisen). Zudem knüpft Art. 8 ZGB immer an die Beweislosigkeit an, weshalb diese Bestimmung grundsätzlich nicht verletzt ist, wenn das Sachgericht von einem positiven Beweisergebnis ausgegangen ist ( BGE 119 II 114 E. 4c S. 117; 118 II 142 E. 3a S. 147; 114 II 289 E. 2a S. 291).</w:t>
      </w:r>
    </w:p>
    <w:p>
      <w:r>
        <w:t>b) Wer vor Bundesgericht eine Verletzung des Rechts zum Beweis rügt, hat konkret darzulegen, welche von ihm angebotenen Beweise der Sachrichter hätte abnehmen sollen, mit den erforderlichen Hinweisen, dass er diese Beweisanträge form- und fristgerecht gestellt hat; ausserdem hat er aufzuzeigen, welche rechtserheblichen Tatsachen damit hätten bewiesen werden sollen (Poudret, COJ II, N. 1.5.2.3 zu Art. 55 OG ).</w:t>
      </w:r>
    </w:p>
    <w:p>
      <w:r>
        <w:t>c) Die Beklagten kritisieren in der Berufung die Sachverhaltsermittlung durch die Vorinstanz und bringen pauschal vor, die von ihnen offerierten Beweise seien nicht abgenommen worden. Sie führen jedoch keine konkreten Beweise an, welche die Vorinstanz hätte abnehmen sollen und zeigen demzufolge auch nicht auf, dass sie ihre Beweisanträge form- und fristgerecht gestellt haben. Damit genügen die Ausführungen der Kläger den Anforderungen an die Substanziierung nicht, weshalb auch darauf nicht einzutreten ist. Im Übrigen hat die Vorinstanz in den massgebenden Punkten in Würdigung der eingereichten Beweismittel positive Feststellungen getroffen und ist somit nicht von Beweislosigkeit ausgegangen, weshalb die Rüge der Verletzung von Art. 8 ZGB ohnehin unbegründet wäre.</w:t>
      </w:r>
    </w:p>
    <w:p>
      <w:r>
        <w:rPr>
          <w:b/>
        </w:rPr>
        <w:t>E. 5</w:t>
      </w:r>
    </w:p>
    <w:p>
      <w:r>
        <w:t>Zusammengefasst erweisen sich die von den Beklagten vorgebrachten Rügen entweder als im Berufungsverfahren zum Vornherein unzulässig oder als den Begründungsanforderungen nicht genügend. Damit kann auf die Berufung nicht eingetreten werden. Bei diesem Verfahrensausgang werden die Beklagten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