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4C.161/2006 vom 2. August 2006</w:t>
      </w:r>
    </w:p>
    <w:p>
      <w:r>
        <w:t>Bundesgericht, 2006-08-02, FR</w:t>
      </w:r>
    </w:p>
    <w:p>
      <w:r>
        <w:rPr>
          <w:b/>
        </w:rPr>
        <w:t xml:space="preserve">Quelle: </w:t>
      </w:r>
      <w:r>
        <w:t>https://mcp.opencaselaw.ch/entscheid/bger_4C.161_2006</w:t>
      </w:r>
    </w:p>
    <w:p>
      <w:r>
        <w:t>FR: TF 4C.161/2006 du 2 août 2006</w:t>
      </w:r>
    </w:p>
    <w:p>
      <w:r>
        <w:t>IT: TF 4C.161/2006 del 2 agosto 2006</w:t>
      </w:r>
    </w:p>
    <w:p>
      <w:pPr>
        <w:pStyle w:val="Heading2"/>
      </w:pPr>
      <w:r>
        <w:t>Regeste</w:t>
      </w:r>
    </w:p>
    <w:p>
      <w:r>
        <w:t>acceptation tacite (Art. 6 CO) | Droit des contrats</w:t>
      </w:r>
    </w:p>
    <w:p>
      <w:pPr>
        <w:pStyle w:val="Heading2"/>
      </w:pPr>
      <w:r>
        <w:t>Erwägungen</w:t>
      </w:r>
    </w:p>
    <w:p>
      <w:r>
        <w:rPr>
          <w:b/>
        </w:rPr>
        <w:t>E. 1.1</w:t>
      </w:r>
    </w:p>
    <w:p>
      <w:r>
        <w:t>Interjeté par la partie qui a succombé dans ses conclusions libératoires, et dirigé contre une décision finale rendue en dernière instance cantonale par un tribunal supérieur ( art. 48 al. 1 OJ ) sur une contestation civile dont la valeur litigieuse dépasse le seuil de 8'000 fr. ( art. 46 OJ ), le recours est en principe recevable, puisqu'il a été déposé en temps utile ( art. 54 al. 1 OJ ) et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ni la violation du droit cantonal ( ATF 127 III 248 consid. 2c et les arrêts cités).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 Dans la mesure où le recourant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247 consid. 2c, p. 252).</w:t>
      </w:r>
    </w:p>
    <w:p>
      <w:r>
        <w:rPr>
          <w:b/>
        </w:rPr>
        <w:t>E. 1.3</w:t>
      </w:r>
    </w:p>
    <w:p>
      <w:r>
        <w:t>Au surplus, la juridiction de réforme ne peut aller au-delà des conclusions des parties; en revanche, elle n'est liée ni par les motifs développés dans les écritures ( art. 63 al. 1 OJ ; ATF 128 III 411 consid. 3.2.2, p. 415), ni par l'argumentation juridique suivie par la cour cantonale ( art. 63 al. 3 OJ ; ATF 130 III 136 consid. 1.4, p. 140; 128 III 22 consid. 2e/cc; 127 III 248 consid. 2c; 126 III 59 consid. 2a).</w:t>
      </w:r>
    </w:p>
    <w:p>
      <w:r>
        <w:rPr>
          <w:b/>
        </w:rPr>
        <w:t>E. 2</w:t>
      </w:r>
    </w:p>
    <w:p>
      <w:r>
        <w:t>La défenderesse a invoqué la compensation. Par ce moyen, elle entend obtenir la restitution des montants qu'elle estime avoir payés en trop; ceux-ci correspondent à la différence entre le taux de rabais de 37% appliqué par le demandeur à un nombre important de factures et la remise de 39% convenue dans les conditions générales du 6 octobre 1999. Le point litigieux porte donc sur l'existence de la créance que la défenderesse oppose en compensation à la prétention du demandeur.</w:t>
      </w:r>
    </w:p>
    <w:p>
      <w:r>
        <w:rPr>
          <w:b/>
        </w:rPr>
        <w:t>E. 2.1</w:t>
      </w:r>
    </w:p>
    <w:p>
      <w:r>
        <w:t>Selon l'arrêt attaqué, la défenderesse ne disposait pas d'une telle créance. Les juges genevois ont considéré tout d'abord que la défenderesse exerçait une prétention fondée sur les règles de l'enrichissement illégitime, plus précisément sur l' art. 63 al. 1 CO (répétition de l'indu). Conformément à cette disposition, il appartenait à la défenderesse de prouver qu'elle avait payé par erreur. La preuve en question n'ayant pas été rapportée, la cour cantonale a écarté la créance compensatoire déjà pour ce motif. Dans une motivation supplémentaire, la Chambre civile a jugé qu'en attendant deux ans et quatre mois avant de contester le taux de rabais appliqué, la défenderesse n'était plus fondée à réclamer de bonne foi la restitution du montant prétendument versé en trop. Appliquant le principe de la confiance, elle a également estimé que la défenderesse avait accepté la modification de l'accord d'octobre 1999 par actes concluants.</w:t>
      </w:r>
    </w:p>
    <w:p>
      <w:r>
        <w:rPr>
          <w:b/>
        </w:rPr>
        <w:t>E. 2.2</w:t>
      </w:r>
    </w:p>
    <w:p>
      <w:r>
        <w:t>Dans son recours, la défenderesse commence par s'en prendre à la qualification de l'accord du 6 octobre 1999 donnée par la cour cantonale. Il ne s'agirait pas d'un contrat innommé de livraison, mais d'une vente. De sa démonstration, la défenderesse ne tire toutefois aucune conclusion juridique en rapport avec la question litigieuse, de sorte que l'argument tombe à faux. Pour le surplus, la défenderesse reproche à la cour cantonale d'avoir méconnu les art. 8 CC , 6 CO et 18 CO, en appliquant en l'espèce la «clausula rebus sic stantibus» et en admettant la modification tacite de l'accord du 6 octobre 1999. En outre, les juges genevois auraient violé l' art. 63 al. 1 CO . En effet, la créance compensatoire ne serait pas fondée sur les règles de l'enrichissement illégitime, mais résulterait de la responsabilité contractuelle du demandeur ( art. 97 ss CO ). Au demeurant, la Chambre civile se serait montrée trop sévère dans l'examen de la preuve de l'erreur au sens de l' art. 63 al. 1 CO . Ce faisant, la défenderesse s'en prend aux deux motivations de l'arrêt attaqué. Elle se conforme ainsi à la jurisprudence en la matière. En effet, lorsque la décision attaquée se fonde sur plusieurs motivations, alternatives ou subsidiaires, toutes suffisantes, chacune doit, sous peine d'irrecevabilité, être attaquée avec le moyen ou le motif de recours approprié ( ATF 129 I 185 consid. 1.6 p. 189 et l'arrêt cité; 121 IV 94 consid. 1 p. 95).</w:t>
      </w:r>
    </w:p>
    <w:p>
      <w:r>
        <w:rPr>
          <w:b/>
        </w:rPr>
        <w:t>E. 3</w:t>
      </w:r>
    </w:p>
    <w:p>
      <w:r>
        <w:t>Il convient à présent d'examiner la première motivation ayant conduit la cour cantonale à écarter la créance compensatoire.</w:t>
      </w:r>
    </w:p>
    <w:p>
      <w:r>
        <w:rPr>
          <w:b/>
        </w:rPr>
        <w:t>E. 3.1</w:t>
      </w:r>
    </w:p>
    <w:p>
      <w:r>
        <w:t>Contrairement à ce que la défenderesse soutient, la prétention en restitution qu'elle fait valoir est bien une créance pour enrichissement illégitime. En effet, celui qui a effectué une prestation supérieure à ce qu'il devait sur la base de ses engagements contractuels ne peut réclamer la différence qu'en vertu du droit de l'enrichissement illégitime ( ATF 130 III 504 consid. 6.2 p. 510; 127 III 421 consid. 3c/bb p. 426). Le moyen tiré de la violation des art. 63 al. 1 et 97 CO est mal fondé.</w:t>
      </w:r>
    </w:p>
    <w:p>
      <w:r>
        <w:rPr>
          <w:b/>
        </w:rPr>
        <w:t>E. 3.2</w:t>
      </w:r>
    </w:p>
    <w:p>
      <w:r>
        <w:t>L' art. 63 al. 1 CO régit la répétition de l'indu. Selon cette disposition, celui qui a payé volontairement ce qu'il ne devait pas ne peut le répéter s'il ne prouve qu'il a payé en croyant, par erreur, qu'il devait ce qu'il a payé. Conformément au texte même de la loi, il appartient à l'appauvri de prouver qu'il s'est exécuté par erreur, c'est-à-dire qu'il croyait à tort devoir payer ce qu'il a payé indûment (Engel, Traité des obligations en droit suisse, p. 591). Savoir si et dans quelle mesure une partie se trouvait dans l'erreur est une question de fait à trancher par l'autorité cantonale (cf. ATF 118 II 58 consid. 3a p. 62 et les arrêts cités; arrêt 4C.227/2003 du 9 décembre 2004, consid. 5.4). En l'espèce, c'est à bon droit que la Cour de justice a mis la preuve de l'erreur à la charge de la défenderesse. Selon les constatations souveraines des juges cantonaux, B.________, collaboratrice de la défenderesse, était responsable du contrôle des factures; il lui incombait de vérifier que le prix unitaire correspondait à la commande et que les pourcentages étaient conformes aux rabais accordés. La Chambre civile relève que la défenderesse n'a pas fait citer son employée lors des enquêtes et, par conséquent, que les raisons pour lesquelles la collaboratrice a avalisé le paiement de factures avec un rabais de 37% demeurent inconnues. Elle en déduit que la défenderesse n'a pas prouvé avoir payé les factures litigieuses par erreur. Il s'agit là d'une question d'appréciation des preuves que le Tribunal fédéral, saisi d'un recours en réforme, ne peut revoir (cf. consid. 1.2 ci-dessus). Lorsqu'elle reproche à la cour cantonale une trop grande sévérité dans l'examen de la preuve de l'erreur, la défenderesse formule dès lors un grief irrecevable. Au surplus, comme l'erreur est l'une des conditions de la répétition de l'indu, la Chambre civile n'a pas violé le droit fédéral en rejetant la créance compensatoire invoquée par la défenderesse au motif que l'erreur n'a pas été prouvée.</w:t>
      </w:r>
    </w:p>
    <w:p>
      <w:r>
        <w:rPr>
          <w:b/>
        </w:rPr>
        <w:t>E. 3.3</w:t>
      </w:r>
    </w:p>
    <w:p>
      <w:r>
        <w:t>Cette motivation, qui n'est pas contraire au droit fédéral, suffit à confirmer l'arrêt attaqué. Dans ces conditions, il ne se justifie pas d'examiner les griefs dirigés contre la motivation supplémentaire développée par la cour cantonale. En conclusion, le recours sera rejeté dans la mesure où il est recevable.</w:t>
      </w:r>
    </w:p>
    <w:p>
      <w:r>
        <w:rPr>
          <w:b/>
        </w:rPr>
        <w:t>E. 4</w:t>
      </w:r>
    </w:p>
    <w:p>
      <w:r>
        <w:t>Vu le sort réservé au recours, la défenderesse prendra à sa charge les frais judiciaires ( art. 156 al. 1 OJ ) et versera des dépens au demandeur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