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4C.15/2004 vom 12. Mai 2004</w:t>
      </w:r>
    </w:p>
    <w:p>
      <w:r>
        <w:t>Bundesgericht, 2004-05-12, FR</w:t>
      </w:r>
    </w:p>
    <w:p>
      <w:r>
        <w:rPr>
          <w:b/>
        </w:rPr>
        <w:t xml:space="preserve">Quelle: </w:t>
      </w:r>
      <w:r>
        <w:t>https://mcp.opencaselaw.ch/entscheid/bger_4C.15_2004</w:t>
      </w:r>
    </w:p>
    <w:p>
      <w:r>
        <w:t>FR: TF 4C.15/2004 du 12 mai 2004</w:t>
      </w:r>
    </w:p>
    <w:p>
      <w:r>
        <w:t>IT: TF 4C.15/2004 del 12 maggio 2004</w:t>
      </w:r>
    </w:p>
    <w:p>
      <w:pPr>
        <w:pStyle w:val="Heading2"/>
      </w:pPr>
      <w:r>
        <w:t>Regeste</w:t>
      </w:r>
    </w:p>
    <w:p>
      <w:r>
        <w:t>Droit des obligations (en général)</w:t>
      </w:r>
    </w:p>
    <w:p>
      <w:pPr>
        <w:pStyle w:val="Heading2"/>
      </w:pPr>
      <w:r>
        <w:t>Erwägungen</w:t>
      </w:r>
    </w:p>
    <w:p>
      <w:r>
        <w:rPr>
          <w:b/>
        </w:rPr>
        <w:t>E. 1</w:t>
      </w:r>
    </w:p>
    <w:p>
      <w:r>
        <w:t>Les recours émanant des deux parties concernent la même décision et comportent des liens étroits, de sorte qu'il se justifie de les joindre pour des motifs d'économie de procédure et de les traiter dans un seul arrêt (cf. 124 III 382 consid. 1a et les arrêts cités).</w:t>
      </w:r>
    </w:p>
    <w:p>
      <w:r>
        <w:rPr>
          <w:b/>
        </w:rPr>
        <w:t>E. 2</w:t>
      </w:r>
    </w:p>
    <w:p>
      <w:r>
        <w:t>Interjetés par les défendeurs qui ont succombé dans leurs conclusions libératoires et dirigés contre un jugement final rendu en dernière instance cantonale par un tribunal supérieur ( art. 48 al. 1 OJ ) sur une contestation civile (cf. ATF 129 III 415 consid. 2.1 et les arrêts cités) dont la valeur litigieuse dépasse le seuil de 8'000 fr. ( art. 46 OJ ), les présents recours en réforme sont en principe recevables, puisqu'ils ont été déposés en temps utile (art. 34 al. 1 et 54 al. 1 OJ; art. 1 de la loi fédérale du 21 juin 1963 sur la supputation des délais expirant un samedi) et dans les formes requises ( art. 55 OJ ).</w:t>
      </w:r>
    </w:p>
    <w:p>
      <w:r>
        <w:rPr>
          <w:b/>
        </w:rPr>
        <w:t>E. 3.1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p. 252 et l'arrêt cité). Dans la mesure où une partie recourante présente un état de fait qui s'écarte de celui contenu dans la décision attaqué, sans se prévaloir avec précision de l'une des exceptions qui viennent d'être rappelées, il n'est pas possible d'en tenir compte ( ATF 130 III 102 consid. 2.2 p. 106 ; 127 III 248 consid. 2c p. 252 et l'arrêt cité). Il ne peut être présenté de griefs contre les constatations de fait, ni de faits ou de moyens de preuve nouveaux ( art. 55 al. 1 let . c OJ).</w:t>
      </w:r>
    </w:p>
    <w:p>
      <w:r>
        <w:rPr>
          <w:b/>
        </w:rPr>
        <w:t>E. 3.2</w:t>
      </w:r>
    </w:p>
    <w:p>
      <w:r>
        <w:t>Invoquant les art. 63 et 64 OJ , la défenderesse demande que les constatations de fait de l'autorité cantonale soient complétées. Elle se trompe toutefois sur le sens et la portée de ces dispositions.</w:t>
      </w:r>
    </w:p>
    <w:p>
      <w:r>
        <w:rPr>
          <w:b/>
        </w:rPr>
        <w:t>E. 3.2.1</w:t>
      </w:r>
    </w:p>
    <w:p>
      <w:r>
        <w:t>Il y a inadvertance au sens de l' art. 63 al. 2 OJ lorsque l'autorité cantonale a ignoré, mal lu, transcrit inexactement ou incomplètement une pièce versée au dossier (cf. ATF 115 II 399 consid. 2a p. 399; 109 II 159 consid. 2b p. 162 et les arrêts cités). Le moyen tiré de l'inadvertance manifeste n'est recevable que si l'acte de recours contient l'indication exacte de la constatation attaquée et la pièce du dossier qui la contredit ( art. 55 al. 1 let . d OJ; ATF 110 II 494 consid. 4 p. 497 et les arrêts cités). Force est d'admettre qu'en dépit de l'intitulé de son moyen, la défenderesse ne se prévaut pas de cet aspect en l'espèce et n'invoque aucune inadvertance manifeste.</w:t>
      </w:r>
    </w:p>
    <w:p>
      <w:r>
        <w:rPr>
          <w:b/>
        </w:rPr>
        <w:t>E. 3.2.2</w:t>
      </w:r>
    </w:p>
    <w:p>
      <w:r>
        <w:t>L' art. 64 OJ est conçu pour le cas où, généralement en raison d'une analyse juridique erronée, la cour cantonale n'a pas tenu compte de certains faits parce qu'elle n'en a pas saisi la pertinence; dans ce cas, plutôt que de renvoyer l'affaire à l'autorité cantonale ( art. 64 al. 1 OJ ), le Tribunal fédéral peut lui-même compléter l'état de fait ( art. 64 al. 2 OJ ), pour autant qu'il s'agisse d'ajouter des points accessoires, régulièrement allégués et clairement établis (arrêt 4C.152/2002 du 22 juillet 2002 consid. 1.3.3 et les références citées). Dans la présente cause, la défenderesse ne se plaint pas de ce que la cour cantonale aurait omis certains faits pertinents, elle lui reproche en définitive d'avoir mal apprécié les faits. Or, l'appréciation des preuves et les constatations de fait qui en découlent ne peuvent donner lieu à un recours en réforme (cf. ATF 128 III 271 consid. 2b/aa p. 277; 127 III 543 consid. 2c p. 547 et l'arrêt cité).</w:t>
      </w:r>
    </w:p>
    <w:p>
      <w:r>
        <w:rPr>
          <w:b/>
        </w:rPr>
        <w:t>E. 4</w:t>
      </w:r>
    </w:p>
    <w:p>
      <w:r>
        <w:t>La défenderesse reproche à la cour cantonale d'avoir admis que la demanderesse était subrogée aux droits de la banque alors qu'elle ne pouvait être considérée comme un tiers au sens de l' art. 110 ch. 1 CO , du moment qu'elle se confondait avec C.________. A titre subsidiaire, la défenderesse fait grief à la cour cantonale d'avoir commis un abus de droit au sens de l' art. 2 al. 2 CC en la considérant comme débitrice solidaire sans tenir compte de sa situation personnelle. Pour sa part, le défendeur invoque une violation du principe de la transparence découlant de l' art. 2 al. 2 CC , du fait que les juges cantonaux ont considéré que la demanderesse était une personne indépendante de C.________. Pour le surplus, le défendeur ne remet pas en cause le rejet de sa demande reconventionnelle, de sorte que ce point ne sera pas revu ( art. 55 al. 1 let. b OJ ).</w:t>
      </w:r>
    </w:p>
    <w:p>
      <w:r>
        <w:rPr>
          <w:b/>
        </w:rPr>
        <w:t>E. 5</w:t>
      </w:r>
    </w:p>
    <w:p>
      <w:r>
        <w:t>Il convient en premier lieu d'examiner la question de savoir si la demanderesse, qui a payé à la banque la somme due par les défendeurs sur la base du prêt qui leur avait été accordé en 1989, est bien subrogée aux droits de cette dernière, dès lors que cet aspect est soulevé par chacun des deux recourants.</w:t>
      </w:r>
    </w:p>
    <w:p>
      <w:r>
        <w:rPr>
          <w:b/>
        </w:rPr>
        <w:t>E. 5.1</w:t>
      </w:r>
    </w:p>
    <w:p>
      <w:r>
        <w:t>Aux termes de l' art. 110 ch. 1 CO , le tiers qui paie le créancier est légalement subrogé, jusqu'à due concurrence, aux droits de ce dernier lorsqu'il dégrève une chose mise en gage pour la dette d'autrui et qu'il possède sur cette chose un droit de propriété ou un autre droit réel. Selon l' art. 845 al. 1 CC , le propriétaire d'un immeuble sur lequel a été constitué une cédule hypothécaire est soumis, lorsqu'il n'est pas personnellement tenu, aux règles applicables en matière d'hypothèques. Cette disposition renvoie, notamment, à l' art. 827 CC , qui n'est qu'une application de l' art. 110 ch. 1 CO . D'où il suit que le tiers qui paie pour dégrever son immeuble est légalement subrogé aux droits du créancier qu'il désintéresse (arrêt 4C.472/1995 du 3 octobre 1996 consid. 1b et les arrêts cités). Il faut considérer comme un tiers, au sens de l' art. 110 CO , uniquement une personne qui n'est impliquée en aucune qualité dans l'obligation ( ATF 60 II 178 consid. 3 p. 183; 53 II 25 , consid. 1 p. 29 et les références citées; plus récemment Tevini Du Pasquier, Commentaire romand, n. 2 ad art. 110 CO ; Weber, Commentaire bernois, n. 15 et 26 ad art. 110 CO ; Gonzenbach, Commentaire bâlois, n. 5 ad art. 110 CO ).</w:t>
      </w:r>
    </w:p>
    <w:p>
      <w:r>
        <w:rPr>
          <w:b/>
        </w:rPr>
        <w:t>E. 5.2</w:t>
      </w:r>
    </w:p>
    <w:p>
      <w:r>
        <w:t>Il s'agit donc d'examiner si, comme le soutient le défendeur, il existe un lien entre la demanderesse et C.________, en ce sens que la demanderesse ne doit pas être considérée comme une personne distincte, mais assimilée à C.________, en vertu du principe de la transparence.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ATF 121 III 319 consid. 5a/aa p. 321 et les arrêts cités; cf. également ATF 122 III 195 consid. 8c non publié et les arrêts cités). La société anonyme à actionnaire unique ("Einmanngesellschaft") - notamment lorsqu'elle a pour but l'exploitation d'un immeuble, ne correspond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[Durchgriff], déduit de l' art. 2 CC - ATF 128 II 329 consid. 2.4 et les références citées; cf. également arrêt 5C.279/2002 du 14 mars 2003 consid. 2.1, reproduit in : Pra 2003 164 894; arrêt 4C.335/1999 du 25 août 2000 consid. 5c, reproduit in : SJ 2001 I 186).</w:t>
      </w:r>
    </w:p>
    <w:p>
      <w:r>
        <w:rPr>
          <w:b/>
        </w:rPr>
        <w:t>E. 5.3</w:t>
      </w:r>
    </w:p>
    <w:p>
      <w:r>
        <w:t>En l'espèce, il ressort des faits constatés par l'autorité cantonale que les patrimoines de la demanderesse et de C.________ ont toujours été séparés, ce qu'indiquent en particulier les faits que la comptabilité de la demanderesse mentionne une dette de C.________ envers elle, que l'engagement de la demanderesse figurait valablement à son bilan et que la demanderesse a accepté de rembourser le prêt dès que la banque l'a exigé. En outre et surtout, il appert qu'en 1995, E.________ s'est vu céder une partie des actions de la demanderesse, dont elle est devenue l'administratrice le 29 août 1996, avant d'en acquérir l'intégralité en 1999. A cet égard, c'est en vain que les défendeurs reviennent sur l'invalidation de la cession, par C.________, des actions de la demanderesse à E.________, dès lors que l'autorité cantonale, d'une manière qui lie l'autorité fédérale de réforme ( art. 63 al. 2 OJ ), a relevé que l'efficience de cette invalidation restait à démontrer. Dans ces circonstances, on ne peut reprocher aux juges cantonaux d'avoir considéré que la demanderesse était un sujet de droit distinct de C.________ ni, partant, violé l' art. 110 CO .</w:t>
      </w:r>
    </w:p>
    <w:p>
      <w:r>
        <w:rPr>
          <w:b/>
        </w:rPr>
        <w:t>E. 5.4</w:t>
      </w:r>
    </w:p>
    <w:p>
      <w:r>
        <w:t>Le défendeur soutient également que la cour cantonale ne pouvait pas admettre la subrogation, dans la mesure où son père y avait renoncé. Certes, l' art. 110 ch. 1 CO ne trouve pas application si le tiers garant a clairement renoncé à rechercher le débiteur (cf. ATF 108 II 188 consid. 1c et la référence citée; Tevini Du Pasquier, op. cit., n. 8 ad art. 110 CO ; Weber, op. cit., n. 24 ad art. 110 CO ; Gonzenbach, op. cit., n. 19 ad art. 110 CO ). Toutefois, l'argument du défendeur se heurte aux constatations souveraines de la cour cantonale ( art. 63 al. 2 OJ ), selon lesquelles C.________ a demandé aux défendeurs de rembourser à la demanderesse la somme prêtée. De toute façon, cet argument tombe à faux puisque, dès lors que la demanderesse doit être considérée comme une personne juridique distincte de C.________, une renonciation exprimée par ce dernier n'engagerait en rien la demanderesse. Au vu de ce qui précède, le recours du défendeur doit donc être rejeté.</w:t>
      </w:r>
    </w:p>
    <w:p>
      <w:r>
        <w:rPr>
          <w:b/>
        </w:rPr>
        <w:t>E. 6</w:t>
      </w:r>
    </w:p>
    <w:p>
      <w:r>
        <w:t>Il reste à se demander si la demanderesse commet un abus de droit au sens de l' art. 2 al. 2 CC en faisant valoir sa créance à l'égard de la défenderesse. Celle-ci invoque le caractère familial de l'affaire et les changements intervenus dans sa vie depuis 1993. Dans ce contexte, elle reproche à la cour cantonale de ne pas avoir procédé à une pesée des intérêts en présence en ne tenant pas compte d'un certain nombre d'éléments.</w:t>
      </w:r>
    </w:p>
    <w:p>
      <w:r>
        <w:rPr>
          <w:b/>
        </w:rPr>
        <w:t>E. 6.1</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p. 497 et les références citées). L'adjectif "manifeste" indique qu'il convient de se montrer restrictif dans l'admission de l'abus de droit ( ATF 128 III 284 consid. 5b non publié et l'arrêt cité).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p. 497 et les références citées; ATF 128 III 284 consid. 5b non publié et les références citées). La règle prohibant l'abus de droit autorise certes le juge à corriger les effet de la loi dans certains cas où l'exercice d'un droit allégué créerait une injustice manifeste. Toutefois, son application doit demeurer restrictive et se concilier avec la finalité, telle que l'a voulue le législateur, de la norme matérielle applicable au cas concret ( ATF 107 Ia 206 consid. 3b p. 211 et les références citées).</w:t>
      </w:r>
    </w:p>
    <w:p>
      <w:r>
        <w:rPr>
          <w:b/>
        </w:rPr>
        <w:t>E. 6.2</w:t>
      </w:r>
    </w:p>
    <w:p>
      <w:r>
        <w:t>En l'espèce, la solidarité entre les ex-époux est établie puisqu'en 1993, la banque a clairement refusé de libérer A.________ de son engagement, en dépit de la convention de liquidation du régime matrimonial, dont les effets n'étaient que purement internes. Ainsi, de l'aveu même de la défenderesse, les engagements qu'elle a pris sont incontestables. En désintéressant la banque, la demanderesse a été subrogée dans ses droits, comprenant le bénéfice de la garantie supplémentaire que constitue la solidarité. Dès lors, l'on ne voit pas en quoi le fait, pour la demanderesse, de réclamer non seulement au défendeur, mais encore à la défenderesse, le remboursement de la somme qu'elle a versée à la banque constituerait une injustice manifeste. Dans ces circonstances, le recours de la défenderesse doit également être rejeté.</w:t>
      </w:r>
    </w:p>
    <w:p>
      <w:r>
        <w:rPr>
          <w:b/>
        </w:rPr>
        <w:t>E. 7</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