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4C.159/2006 vom 13. Juli 2006</w:t>
      </w:r>
    </w:p>
    <w:p>
      <w:r>
        <w:t>Bundesgericht, 2006-07-13, FR</w:t>
      </w:r>
    </w:p>
    <w:p>
      <w:r>
        <w:rPr>
          <w:b/>
        </w:rPr>
        <w:t xml:space="preserve">Quelle: </w:t>
      </w:r>
      <w:r>
        <w:t>https://mcp.opencaselaw.ch/entscheid/bger_4C.159_2006</w:t>
      </w:r>
    </w:p>
    <w:p>
      <w:r>
        <w:t>FR: TF 4C.159/2006 du 13 juillet 2006</w:t>
      </w:r>
    </w:p>
    <w:p>
      <w:r>
        <w:t>IT: TF 4C.159/2006 del 13 luglio 2006</w:t>
      </w:r>
    </w:p>
    <w:p>
      <w:pPr>
        <w:pStyle w:val="Heading2"/>
      </w:pPr>
      <w:r>
        <w:t>Regeste</w:t>
      </w:r>
    </w:p>
    <w:p>
      <w:r>
        <w:t>société anonyme; vente des actions; inégalité de traitement | Droit des sociétés</w:t>
      </w:r>
    </w:p>
    <w:p>
      <w:pPr>
        <w:pStyle w:val="Heading2"/>
      </w:pPr>
      <w:r>
        <w:t>Erwägungen</w:t>
      </w:r>
    </w:p>
    <w:p>
      <w:r>
        <w:rPr>
          <w:b/>
        </w:rPr>
        <w:t>E. 1</w:t>
      </w:r>
    </w:p>
    <w:p>
      <w:r>
        <w:t>L'acte de recours doit contenir, notamment, les motifs à l'appui des conclusions ( art. 55 al. 1 let . c OJ). Une conclusion qui n'est pas motivée dans l'acte de recours est, dès lors, irrecevable ( ATF 130 III 458 consid. 5; Jean-François Poudret, COJ, n. 1.5.1.1 ad art 55).</w:t>
      </w:r>
    </w:p>
    <w:p>
      <w:r>
        <w:rPr>
          <w:b/>
        </w:rPr>
        <w:t>E. 1.1</w:t>
      </w:r>
    </w:p>
    <w:p>
      <w:r>
        <w:t>Le demandeur conclut à ce que les cinq défendeurs soient condamnés solidairement à lui payer la somme de 170'000 fr. au titre du gain manqué sur le produit de la vente de ses 425 actions. Il soutient que, dûment informé par les défendeurs, il aurait pu toucher 1'600 fr. par action au lieu des 1'200 fr. effectivement perçus. Selon lui, les défendeurs auraient violé le principe de l'égalité de traitement des actionnaires et méconnu de la sorte l' art. 717 al. 2 CO en ne lui procurant pas l'information nécessaire. En vertu de l' art. 717 al. 1 CO , les membres du conseil d'administration, de même que les tiers qui s'occupent de la gestion, exercent leurs attributions avec toute la diligence nécessaire et veillent fidèlement aux intérêts de la société. L'art. 717 al 2 CO leur prescrit de traiter de la même manière les actionnaires qui se trouvent dans la même situation.</w:t>
      </w:r>
    </w:p>
    <w:p>
      <w:r>
        <w:rPr>
          <w:b/>
        </w:rPr>
        <w:t>E. 1.2</w:t>
      </w:r>
    </w:p>
    <w:p>
      <w:r>
        <w:t>Les défendeurs nos 1-3 étaient membres du conseil d'administration de E.________ lorsque les négociations ont été conduites avec le demandeur et la défenderesse n° 5 au sujet du transfert des actions. On ne voit pas - et le demandeur ne fournit pas un début d'explication à ce propos - en quoi les défendeurs nos 4 et 5 auraient été tenus d'accomplir une quelconque action en conformité avec l' art. 717 CO . De même, l'acte de recours ne contient aucune critique en ce qui concerne le rejet, par la cour cantonale, des conclusions prises à l'encontre de ces deux défendeurs. Le présent recours est, dès lors, irrecevable en tant qu'il vise ceux-ci.</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2.1</w:t>
      </w:r>
    </w:p>
    <w:p>
      <w:r>
        <w:t>La Cour de justice a rejeté l'action, entre autres motifs, parce que le juge de première instance avait nié à bon droit l'existence d'un lien de causalité entre les violations de leurs devoirs imputées aux défendeurs et le dommage allégué par le demandeur (consid. 7). Ce faisant, elle a repris à son compte la constatation de l'instance précédente voulant qu'aucun élément ne permît de retenir que la défenderesse n° 5 eût été disposée à acquérir les actions du demandeur au prix de 1'600 fr. l'unité. Les juges d'appel ont tiré cette conclusion du fait que la défenderesse n° 5 avait fait dépendre son intérêt à l'acquisition d'une participation majoritaire dans E.________ du règlement antérieur des modalités de départ du demandeur. Pareille conclusion repose sur l'appréciation des preuves. La cour cantonale a ainsi nié l'existence d'un lien de causalité naturelle entre la violation alléguée et le dommage invoqué.</w:t>
      </w:r>
    </w:p>
    <w:p>
      <w:r>
        <w:rPr>
          <w:b/>
        </w:rPr>
        <w:t>E. 2.2</w:t>
      </w:r>
    </w:p>
    <w:p>
      <w:r>
        <w:t>La causalité naturelle est une question qui ne peut pas être revue par la juridiction fédérale de réforme ( ATF 130 III 591 consid. 5.3). Le demandeur ne se prévaut pas, sur ce point, de l'une des exceptions permettant à celle-ci de revoir les constatations de la cour cantonale. L'inadvertance manifeste dont il se plaint au sujet de la constatation du contenu de l'accord conclu les 19/23 avril 2002 entre le demandeur et les défendeurs nos 1-2 est étrangère au problème de la causalité (manquante) entre la prétendue violation par les défendeurs des devoirs découlant de l' art. 717 CO et le dommage allégué. Ainsi, il n'est pas possible d'entrer en matière sur les critiques du demandeur relatives à l'exclusion du rapport de cause à effet entre les éventuelles violations des devoirs incombant aux défendeurs et le prétendu gain manqué.</w:t>
      </w:r>
    </w:p>
    <w:p>
      <w:r>
        <w:rPr>
          <w:b/>
        </w:rPr>
        <w:t>E. 3</w:t>
      </w:r>
    </w:p>
    <w:p>
      <w:r>
        <w:t>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122 III 488 consid. 2; 117 II 432 consid. 2a p. 441). Ces exigences sont posées à peine d'irrecevabilité pour chacun des moyens de droit concernés ( ATF 131 III 595 consid. 2.2 p. 598 et les arrêts cités). La constatation de l'absence d'un lien de causalité naturelle entre les violations de leurs devoirs imputées aux défendeurs et le dommage à réparer suffit à entraîner le rejet de l'action du demandeur. Celui-ci n'a, dès lors, plus d'intérêt juridiquement protégé à faire trancher la question de l'existence de la prétendue violation de leurs devoirs par les défendeurs. Il s'ensuit l'irrecevabilité totale du présent recours.</w:t>
      </w:r>
    </w:p>
    <w:p>
      <w:r>
        <w:rPr>
          <w:b/>
        </w:rPr>
        <w:t>E. 4</w:t>
      </w:r>
    </w:p>
    <w:p>
      <w:r>
        <w:t>Cela étant, le demandeur devra payer l'émolument judiciaire afférent à la procédure fédérale ( art. 156 al. 1 OJ ). Il lui appartiendra, en outre, de verser des dépens aux défendeurs, qui ont mandaté le même avocat pour répondre au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