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4C.152/2004 vom 9. Juli 2004</w:t>
      </w:r>
    </w:p>
    <w:p>
      <w:r>
        <w:t>Bundesgericht, 2004-07-09, DE</w:t>
      </w:r>
    </w:p>
    <w:p>
      <w:r>
        <w:rPr>
          <w:b/>
        </w:rPr>
        <w:t xml:space="preserve">Quelle: </w:t>
      </w:r>
      <w:r>
        <w:t>https://mcp.opencaselaw.ch/entscheid/bger_4C.152_2004</w:t>
      </w:r>
    </w:p>
    <w:p>
      <w:r>
        <w:t>FR: TF 4C.152/2004 du 9 juillet 2004</w:t>
      </w:r>
    </w:p>
    <w:p>
      <w:r>
        <w:t>IT: TF 4C.152/2004 del 9 luglio 2004</w:t>
      </w:r>
    </w:p>
    <w:p>
      <w:pPr>
        <w:pStyle w:val="Heading2"/>
      </w:pPr>
      <w:r>
        <w:t>Erwägungen</w:t>
      </w:r>
    </w:p>
    <w:p>
      <w:r>
        <w:rPr>
          <w:b/>
        </w:rPr>
        <w:t>E. 1</w:t>
      </w:r>
    </w:p>
    <w:p>
      <w:r>
        <w:t>Unter den Parteien ist im Wesentlichen streitig, ob die am 25. September 2001 abgegebene Erklärung der Beklagten, sie wolle von ihrem Optionsrecht Gebrauch machen, die Entstehung eines neuen fünfjährigen Mietvertrages bewirkt hat. Andernfalls wäre die Indexierung dahingefallen ( Art. 269b OR ; BGE 124 III 57 E. 3a S. 58 f., mit Hinweisen). Da die Beklagte diese Rechtsfolge für den Fall, dass von einer unechten Option auszugehen sein sollte, nicht in Abrede stellt, ist einzig zu prüfen, ob die Vorinstanz mit der Annahme, trotz dem in der streitigen Klausel verwendeten Ausdruck "Option" sei der Beklagten kein Gestaltungsrecht eingeräumt worden, Bundesrecht verletzt hat, wie der Kläger mit der Berufung geltend macht.</w:t>
      </w:r>
    </w:p>
    <w:p>
      <w:r>
        <w:rPr>
          <w:b/>
        </w:rPr>
        <w:t>E. 2.1</w:t>
      </w:r>
    </w:p>
    <w:p>
      <w:r>
        <w:t>Der Inhalt eines Vertrages bestimmt sich in erster Linie durch subjektive Auslegung, das heisst nach dem übereinstimmenden wirklichen Parteiwillen ( Art. 18 Abs. 1 OR ). Nur wenn eine tatsächliche Willensübereinstimmung unbewiesen bleibt, sind zur Ermittlung des mutmasslichen Parteiwillens die Parteierklärungen so auszulegen, wie sie vom Empfänger in guten Treuen verstanden werden durften und mussten ( BGE 129 III 118 E. 2.5 S. 122; 128 III 265 E. 3a S. 267, je mit Hinweisen). Während das Bundesgericht die objektivierte Vertragsauslegung als Rechtsfrage prüfen kann, beruht die subjektive Vertragsauslegung auf Beweiswürdigung, die vorbehältlich der Ausnahmen von Art. 63 Abs. 2 und Art. 64 OG der bundesgerichtlichen Überprüfung im Berufungsverfahren entzogen ist ( BGE 129 III 118 E. 2.5 S. 122; 126 III 25 E. 3c S. 29, je mit Hinweisen).</w:t>
      </w:r>
    </w:p>
    <w:p>
      <w:r>
        <w:rPr>
          <w:b/>
        </w:rPr>
        <w:t>E. 2.2</w:t>
      </w:r>
    </w:p>
    <w:p>
      <w:r>
        <w:t>Bei der Ermittlung der Bedeutung des vereinbarten Optionsrechts schloss die Vorinstanz aus der nachträglich gewechselten Korrespondenz, mithin in Würdigung der Beweise, beide Parteien seien davon ausgegangen, dass über die neuen Konditionen noch verhandelt werden müsse. Dem Kläger ist daher im Berufungsverfahren verwehrt, die aufgrund der Ermittlung des tatsächlichen Parteiwillens erfolgte Feststellung der Vorinstanz, die Fortdauer des Mietverhältnisses sei vom übereinstimmenden Willen beider Parteien abhängig gewesen, in Zweifel zu ziehen. Das gilt auch, soweit er in diesem Zusammenhang Versehensrügen erhebt. Er zeigt nicht auf, welche Aktenstelle die Vorinstanz übersehen oder unrichtig, d.h. nicht in ihrer wahren Gestalt, insbesondere nicht mit ihrem wirklichen Wortlaut wahrgenommen hätte ( BGE 119 II 353 E. 5c/aa S. 357; 115 II 484 E. 2a S. 485 f.). Er verkennt, dass ein Versehen nicht schon dadurch belegt ist, dass sich das Aktenstück bei der Beweiswürdigung nicht erwähnt findet, sondern es muss klar sein, dass es bei der Bildung der richterlichen Überzeugung auch implizit nicht einbezogen, also in den Akten unentdeckt geblieben oder vergessen worden ist. Inwiefern dies der Fall sein soll, legt der Kläger nicht dar. Auch soweit er eine Verletzung von Art. 8 ZGB geltend macht, kritisiert er die Beweiswürdigung, wie er selbst anführt. Darauf ist nicht einzutreten.</w:t>
      </w:r>
    </w:p>
    <w:p>
      <w:r>
        <w:rPr>
          <w:b/>
        </w:rPr>
        <w:t>E. 3.1</w:t>
      </w:r>
    </w:p>
    <w:p>
      <w:r>
        <w:t>Ein Optionsrecht gibt der betreffenden Partei die Möglichkeit, durch einseitige Willenserklärung unmittelbar ein inhaltlich bereits festgelegtes Vertragsverhältnis herbeizuführen oder zu verlängern ( BGE 122 III 10 E. 4b S. 15; 113 II 31 E. 2a S. 34 f., mit Hinweisen). Ein optionsbelasteter Vertrag ist ein aufschiebend bedingtes Rechtsgeschäft. Die Geltung eines solchen Vertrages hängt von der blossen, später erfolgenden Willenserklärung einer der am Vertrag beteiligten Partei ab, ihn gelten zu lassen ( BGE 122 III 10 E. 4b S. 15, mit Hinweisen). Das Vorliegen einer echten Option setzt deshalb stets voraus, dass eine Einigung über alle wesentlichen Vertragselemente bereits stattgefunden hat. Bezieht sich die Optionsklausel auf den Abschluss oder die Verlängerung eines Mietvertrags, muss somit im Zeitpunkt der Ausübung des Optionsrechts feststehen, welche Mietsache der Vermieter zu welchem Mietzins dem Mieter zu überlassen hat (vgl. Art. 253 OR ; Bundesgerichtsurteil 4C.17/2004 vom 2. Juni 2004, E. 6.2.1, mit Hinweisen). Sehen die Parteien vor, dass über die Höhe des Mietzinses nach Ausübung der eingeräumten Befugnis erst verhandelt wird, liegt keine Option im dargelegten Sinne vor, da die einseitige Erklärung nicht bereits Vereinbartes in Gang setzt. Der Vorinstanz ist demnach beizupflichten, soweit sie unter Hinweis auf Higi, Zürcher Kommentar, N 71 f. zu Art. 255 OR , erwog, es sei eine unechte Option gegeben, wenn die Optionserklärung nicht sogleich die Fortsetzung des Mietverhältnisses zum bereits bekannten Vertragsinhalt bewirke, sondern dem Verpflichteten entweder die Möglichkeit eröffne, dem Berechtigten neue Konditionen vorzuschlagen oder ihn dazu anhalte, ernsthafte Verhandlungen mit dem Berechtigten über neue Konditionen aufzunehmen. Die Vorinstanz erkannte zutreffend, dass in derartigen Konstellationen die Ausübungserklärung nicht unmittelbar rechtsgestaltend wirkt, was aber für eine echte Option unabdingbar wäre.</w:t>
      </w:r>
    </w:p>
    <w:p>
      <w:r>
        <w:rPr>
          <w:b/>
        </w:rPr>
        <w:t>E. 3.2</w:t>
      </w:r>
    </w:p>
    <w:p>
      <w:r>
        <w:t>Nach der unter den Parteien geltenden Abrede ist die Vermieterin bei rechtzeitiger Ausübung des Optionsrechts berechtigt, den Mietzins auf Beginn der Optionsdauer - gemeint ist wohl die neu beginnende fünfjährige Vertragsdauer - den dannzumal herrschenden orts- und quartierüblichen Verhältnissen anzupassen. Daraus erhellt, dass bei Ausübung des Optionsrechts über ein essentiale negotii, den Mietpreis, noch keine Gewissheit bestand. Unter diesen Umständen vermochte die Erklärung der Beklagten vom 25. September 2001, dass sie von ihrem Optionsrecht Gebrauch mache, das Inkrafttreten eines neuen auf fünf Jahre befristeten Mietvertrages nicht auszulösen. Die Parteien haben sich im Anschluss an die Erklärung über die Ausübung der Option auch nicht über die Höhe des Mietzinses, der während einer neuen fünfjährigen Mietdauer gelten sollte, ins Einvernehmen gesetzt. Ein Vertrag hierüber ist daher nicht zustande gekommen. Vielmehr kam jene Bestimmung des ursprünglichen Vertrages zum Tragen, wonach der Vertrag zwölf Monate im Voraus auf Ende März und Ende September kündbar ist. Davon ist auch die Vorinstanz ausgegangen, weshalb sie auch im Rahmen der Subsumtion kein Bundesrecht verletzt hat.</w:t>
      </w:r>
    </w:p>
    <w:p>
      <w:r>
        <w:rPr>
          <w:b/>
        </w:rPr>
        <w:t>E. 4</w:t>
      </w:r>
    </w:p>
    <w:p>
      <w:r>
        <w:t>Aus den dargelegten Gründen hält der angefochtene Entscheid vor Bundesrecht stand. Die Berufung ist daher abzuweisen, soweit darauf einzutreten ist, wobei der Kläger als unterliegende Partei kosten- und entschädigungspflichtig wird (Art. 156 Abs. 1 und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