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4C.150/2004 vom 2. August 2004</w:t>
      </w:r>
    </w:p>
    <w:p>
      <w:r>
        <w:t>Bundesgericht, 2004-08-02, DE</w:t>
      </w:r>
    </w:p>
    <w:p>
      <w:r>
        <w:rPr>
          <w:b/>
        </w:rPr>
        <w:t xml:space="preserve">Quelle: </w:t>
      </w:r>
      <w:r>
        <w:t>https://mcp.opencaselaw.ch/entscheid/bger_4C.150_2004</w:t>
      </w:r>
    </w:p>
    <w:p>
      <w:r>
        <w:t>FR: TF 4C.150/2004 du 2 août 2004</w:t>
      </w:r>
    </w:p>
    <w:p>
      <w:r>
        <w:t>IT: TF 4C.150/2004 del 2 agosto 2004</w:t>
      </w:r>
    </w:p>
    <w:p>
      <w:pPr>
        <w:pStyle w:val="Heading2"/>
      </w:pPr>
      <w:r>
        <w:t>Erwägungen</w:t>
      </w:r>
    </w:p>
    <w:p>
      <w:r>
        <w:rPr>
          <w:b/>
        </w:rPr>
        <w:t>E. 1</w:t>
      </w:r>
    </w:p>
    <w:p>
      <w:r>
        <w:t>Dem Beklagten wurde mit Verfügung vom 27. Mai 2004 Frist von 30 Tagen zur Berufungsantwort gesetzt. Die Frist lief am Montag, den 28. Juni 2004 ab. Sie ist gewahrt, wenn die Eingabe spätestens am letzten Tag der Frist zu Handen des Bundesgerichts der Schweizerischen Post übergeben wurde ( Art. 32 Abs. 3 OG ). Dies kann aufgrund der unterschriftlichen Bestätigung der beiden in Z.________ wohnhaften Zeugen vom 12. Juli 2004 als erwiesen gelten ( BGE 109 Ia 183 E. 3), bestehen doch keinerlei Anhaltspunkte dafür, dass der unterschriftlich bestätigte Vorgang sich nicht wie dargestellt ereignet hätte. Es kann daher auf eine förmliche Zeugeneinvernahme verzichtet werden.</w:t>
      </w:r>
    </w:p>
    <w:p>
      <w:r>
        <w:rPr>
          <w:b/>
        </w:rPr>
        <w:t>E. 2</w:t>
      </w:r>
    </w:p>
    <w:p>
      <w:r>
        <w:t>Die Berufungsschrift muss gemäss Art. 55 Abs. 1 lit. b OG die genaue Angabe enthalten, welche Punkte des Entscheides angefochten werden und welche Abänderungen beantragt werden. Der blosse Hinweis auf im kantonalen Verfahren gestellte Anträge genügt nicht. Neue Begehren sind ausgeschlossen.</w:t>
      </w:r>
    </w:p>
    <w:p>
      <w:r>
        <w:rPr>
          <w:b/>
        </w:rPr>
        <w:t>E. 2.1</w:t>
      </w:r>
    </w:p>
    <w:p>
      <w:r>
        <w:t>Die Klägerin stellt in ihren Rechtsbegehren allein den Antrag auf Aufhebung des angefochtenen Urteils, was den Anforderungen von Art. 55 Abs. 1 lit. b OG grundsätzlich nicht genügt. Das Bundesgericht hat diese Vorschrift stets dahin ausgelegt, dass bei Klagen auf Geldleistung der verlangte Betrag zu beziffern ist. Immerhin lässt es die Rechtsprechung genügen, dass aus der Berufungsbegründung ohne weiteres ersichtlich ist, in welchem Sinne das angefochtene Urteil nach dem Willen des Berufungsklägers abgeändert werden soll, wenn sich dies aus dem Wortlaut des Rechtsbegehrens nicht ergibt ( BGE 125 III 412 E. 1b mit Verweisen).</w:t>
      </w:r>
    </w:p>
    <w:p>
      <w:r>
        <w:rPr>
          <w:b/>
        </w:rPr>
        <w:t>E. 2.2</w:t>
      </w:r>
    </w:p>
    <w:p>
      <w:r>
        <w:t>Der Begründung der Rechtsschrift der Klägerin sind keine ziffernmässigen Beträge zu entnehmen, aus denen ersichtlich wäre, in welchem Sinne eine Abänderung des angefochtenen Urteils in Bezug auf die Schadenersatzforderung verlangt wird. Ein (hier allenfalls sinngemäss gestellter) Antrag auf Rückweisung der Sache ist allerdings dann ausreichend, wenn die Feststellungen im angefochtenen Urteil dem Bundesgericht nicht erlauben, im Falle der Gutheissung selbst ein Urteil zu fällen und die Sache gemäss Art. 64 OG ohnehin an die Vorinstanz zurückgewiesen werden muss ( BGE 125 III 412 E. 1b). Insofern kann der Antrag noch als genügend angesehen werden, soweit die Verletzung von Art. 8 ZGB und sinngemäss eine Verletzung der bundesrechtlichen Substanziierungspflicht gerügt wird.</w:t>
      </w:r>
    </w:p>
    <w:p>
      <w:r>
        <w:rPr>
          <w:b/>
        </w:rPr>
        <w:t>E. 2.3</w:t>
      </w:r>
    </w:p>
    <w:p>
      <w:r>
        <w:t>In der Begründung der Rechtsschrift wird erwähnt, dass die Klägerin ein Schmerzensgeld bzw. eine Genugtuung von Fr. 82'150.-- für angemessen hält. Insofern ergibt sich ohne weiteres, in welchem Sinne die Klägerin die Abänderung des angefochtenen Urteils anstrebt.</w:t>
      </w:r>
    </w:p>
    <w:p>
      <w:r>
        <w:rPr>
          <w:b/>
        </w:rPr>
        <w:t>E. 3</w:t>
      </w:r>
    </w:p>
    <w:p>
      <w:r>
        <w:t>Mit der Berufung kann die Verletzung von Bundesrecht gerügt werden, während das Rechtsmittel zur Rüge der Verletzung kantonalen Rechts nicht zur Verfügung steht ( Art. 43 Abs. 1 und Art. 55 Abs. 1 lit. c OG ). Auf die Berufung ist nicht einzutreten, soweit die Klägerin die Kostenverlegung im kantonalen Verfahren beanstandet. Nur im Falle der Abänderung des kantonalen Urteils können die Kosten des kantonalen Verfahrens vom Bundesgericht ausnahmsweise anders verlegt werden ( Art. 157 OG ). Nicht einzutreten ist auf die Berufung überdies, soweit die Klägerin sinngemäss vorbringt, die Vorinstanz hätte die Akten unbesehen entsprechender Parteibehauptungen würdigen müssen. Die formellen Anforderungen an die Sachvorbringen der Parteien werden vom kantonalen Prozessrecht geregelt (vgl. BGE 108 II 337 E. 2 und 3). Im Übrigen ist der Rechtsschrift nicht zu entnehmen und ist auch nicht ersichtlich, inwiefern die Vorinstanz die bundesrechtlichen Anforderungen an die Substanziierung des Schadens verkannt bzw. unrichtig gehandhabt haben soll (vgl. BGE 127 III 365 E. 2b S. 368).</w:t>
      </w:r>
    </w:p>
    <w:p>
      <w:r>
        <w:rPr>
          <w:b/>
        </w:rPr>
        <w:t>E. 4</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S. 106 mit Hinweisen). Blosse Kritik an der vorinstanzlichen Beweiswürdigung ist im Berufungsverfahren unzulässig ( BGE 127 III 73 E. 6a).</w:t>
      </w:r>
    </w:p>
    <w:p>
      <w:r>
        <w:rPr>
          <w:b/>
        </w:rPr>
        <w:t>E. 4.1</w:t>
      </w:r>
    </w:p>
    <w:p>
      <w:r>
        <w:t>Die Klägerin rügt eine Verletzung von Art. 8 ZGB . Sie begründet diese Rüge damit, im angefochtenen Urteil werde in nahezu allen Punkten die Darstellung des Beklagten übernommen und die Beweismittel der Klägerin würden nicht oder nur ungenügend berücksichtigt. Abgesehen davon, dass der Berufung nicht zu entnehmen ist, mit welchen Beweismitteln die Klägerin nicht zugelassen worden sein soll, verkennt sie mit diesen Vorbringen die Tragweite von Art. 8 ZGB . Diese Bestimmung schreibt dem Sachgericht insbesondere nicht vor, mit welchen Mitteln der Sachverhalt abzuklären ist und wie die Beweise zu würdigen sind. Die Schlüsse, die das kantonale Gericht in tatsächlicher Hinsicht aus Beweisen und konkreten Umständen zieht, sind im Berufungsverfahren nicht überprüfbar ( BGE 122 III 219 E. 3c mit Verweisen). Die Klägerin beanstandet die Beweiswürdigung. Art. 8 ZGB ist nicht verletzt.</w:t>
      </w:r>
    </w:p>
    <w:p>
      <w:r>
        <w:rPr>
          <w:b/>
        </w:rPr>
        <w:t>E. 4.2</w:t>
      </w:r>
    </w:p>
    <w:p>
      <w:r>
        <w:t>Die Klägerin ist überdies nicht zu hören, soweit sie - teilweise gestützt auf die kantonalen Akten - Tatsachen behauptet, die im angefochtenen Urteil nicht festgestellt sind. Zunächst ist die Behauptung der Klägerin unzutreffend, es seien ihr im angefochtenen Urteil 4/5 des Schadens als selbstverschuldet angelastet worden. Die Vorinstanz hat in Erwägung 5 des angefochtenen Entscheides geschlossen, den Beklagten treffe ein überwiegendes Verschulden am Unfall und sie hat den Beklagten zu 70 % für den durch die Klägerin erlittenen Schaden haftbar erklärt. Soweit die Klägerin ihre Rügen auf eine tatsächliche Grundlage stützt, die dem angefochtenen Entscheid widerspricht, ist auf das Rechtsmittel nicht einzutreten. Denn inwiefern auf der Grundlage der verbindlichen Feststellungen der Vorinstanz zum Unfallhergang Bundesrecht verletzt worden sein sollte, ist den Vorbringen in der Berufung nicht zu entnehmen. Dasselbe gilt für die Ausführungen der Klägerin zu den gesundheitlichen Folgen des Unfalls. Soweit der Berufungsbegründung nicht wenigstens sinngemäss zu entnehmen ist, inwiefern die Klägerin aufgrund der verbindlich festgestellten Tatsachen bundesrechtliche Grundsätze der Genugtuungsbemessung für verletzt erachtet, ist sie im vorliegenden Verfahren nicht zu hören.</w:t>
      </w:r>
    </w:p>
    <w:p>
      <w:r>
        <w:rPr>
          <w:b/>
        </w:rPr>
        <w:t>E. 5</w:t>
      </w:r>
    </w:p>
    <w:p>
      <w:r>
        <w:t>Die Vorinstanz hat die (volle) Genugtuung auf Fr. 45'000.-- festgesetzt. Die Klägerin hält hingegen dafür, dass eine Genugtuung von Fr. 82'150.-- angemessen sei, da ein Dauerschaden verbleibe, der sie dazu zwinge, auf vieles zu verzichten, das für gesunde Menschen selbstverständlich sei.</w:t>
      </w:r>
    </w:p>
    <w:p>
      <w:r>
        <w:rPr>
          <w:b/>
        </w:rPr>
        <w:t>E. 5.1</w:t>
      </w:r>
    </w:p>
    <w:p>
      <w:r>
        <w:t>Die Höhe der Genugtuung hängt zunächst von der Schwere der Verletzung ab ( BGE 125 III 269 E. 2a). Sie ist nach Ermessen des sachlich zuständigen Gerichts zu bemessen, in welches das Bundesgericht nur eingreift,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Einzugreifen ist nach der Rechtsprechung des Bundesgerichts ferner, wenn sich ein Ermessensentscheid als offensichtlich unbillig, als in stossender Weise ungerecht erweist ( BGE 127 III 351 E. 4a mit Hinweisen).</w:t>
      </w:r>
    </w:p>
    <w:p>
      <w:r>
        <w:rPr>
          <w:b/>
        </w:rPr>
        <w:t>E. 5.2</w:t>
      </w:r>
    </w:p>
    <w:p>
      <w:r>
        <w:t>Vorliegend hat die Vorinstanz in Berücksichtigung vergleichbarer Fälle erkannt, dass die Genugtuung der Klägerin aufgrund ihrer schwerwiegenden Beeinträchtigung durch die Knieverletzungen bei voller Haftpflicht des Beklagten auf Fr. 45'000.-- zu bemessen wäre. Die Präjudizien, auf welche die Vorinstanz ihren Entscheid gestützt hat, betreffen unter anderem auch Fälle, in denen die Verletzten eine bleibende Invalidität hinzunehmen hatten. Die beurteilten Präjudizien liegen zudem zeitlich nicht weit zurück. Sie können als Bemessungsrahmen für die hier in Betracht fallende Genugtuung durchaus beachtet werden. Bei Berücksichtigung der von der Vorinstanz für die Grössenordnung der zuzusprechenden Genugtuung zutreffend herangezogenen Präjudizien kann nicht als erstellt gelten, dass der Betrag von Fr. 45'000.-- bei voller Haftung des Beklagten unzureichend wäre. Der zugesprochene Betrag hält sich vielmehr durchaus im Rahmen dessen, was für vergleichbare Beeinträchtigungen bundesrechtskonform zugesprochen wurde.</w:t>
      </w:r>
    </w:p>
    <w:p>
      <w:r>
        <w:rPr>
          <w:b/>
        </w:rPr>
        <w:t>E. 5.3</w:t>
      </w:r>
    </w:p>
    <w:p>
      <w:r>
        <w:t>Die Klägerin legt im Übrigen nicht dar und es ist auch nicht ersichtlich, inwiefern die Vorinstanz Kriterien zu Unrecht herangezogen oder im Gegenteil unbeachtet gelassen hätte, die bundesrechtlich zu berücksichtigen sind. Die Vorinstanz hat mit der Berücksichtigung vergleichbarer Fälle durchaus beachtet, dass die Klägerin einen Dauerschaden erlitten hat, der ihre Lebensqualität im Vergleich zu gesunden Menschen erheblich beeinträchtigt. Sie hat bundesrechtskonform abgelehnt, aus diesem - von der Klägerin allein genannten - Grund die Genugtuungssumme im Verhältnis zu vergleichbaren Fällen zu erhöhen. Da sich die von der Vorinstanz zugesprochene Genugtuungssumme im Rahmen dessen hält, was für vergleichbare Beeinträchtigungen praxisgemäss zugesprochen wurde, ist eine fehlerhafte Ermessensausübung und damit eine Bundesrechtsverletzung zu verneinen.</w:t>
      </w:r>
    </w:p>
    <w:p>
      <w:r>
        <w:rPr>
          <w:b/>
        </w:rPr>
        <w:t>E. 6</w:t>
      </w:r>
    </w:p>
    <w:p>
      <w:r>
        <w:t>Die Berufung ist abzuweisen, soweit darauf eingetreten werden kann. Die Klägerin hat bei diesem Verfahrensausgang die Gerichtsgebühr zu tragen ( Art. 156 Abs. 1 OG ). Sie hat dem anwaltlich vertretenen Beklagten überdies eine Parteientschädigung zu bezahlen ( Art. 159 Abs. 1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