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4C.149/2001 vom 19. Dezember 2001</w:t>
      </w:r>
    </w:p>
    <w:p>
      <w:r>
        <w:t>Bundesgericht, 2001-12-19, FR</w:t>
      </w:r>
    </w:p>
    <w:p>
      <w:r>
        <w:rPr>
          <w:b/>
        </w:rPr>
        <w:t xml:space="preserve">Quelle: </w:t>
      </w:r>
      <w:r>
        <w:t>https://mcp.opencaselaw.ch/entscheid/bger_4C.149_2001</w:t>
      </w:r>
    </w:p>
    <w:p>
      <w:r>
        <w:t>FR: TF 4C.149/2001 du 19 décembre 2001</w:t>
      </w:r>
    </w:p>
    <w:p>
      <w:r>
        <w:t>IT: TF 4C.149/2001 del 19 dicembre 2001</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w:t>
      </w:r>
    </w:p>
    <w:p>
      <w:r>
        <w:t>Dans la mesure où un recourant présente un état de fait qui s'écarte de celui contenu dans la décision attaquée, sans se prévaloir avec précision de l'une des exceptions qui viennent d'être rappelées, il n'y a pas lieu d'en tenir compte.</w:t>
      </w:r>
    </w:p>
    <w:p>
      <w:r>
        <w:t>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w:t>
      </w:r>
    </w:p>
    <w:p>
      <w:r>
        <w:t>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2</w:t>
      </w:r>
    </w:p>
    <w:p>
      <w:r>
        <w:t>A l'appui de son recours, la défenderesse fait tout d'abord valoir que les demanderesses seraient déchues de leurs droits à la garantie. Les intimées n'auraient ainsi pas contrôlé l'ouvrage lors de sa réception, qui serait intervenue au plus tard le 30 novembre 1990, alors qu'elles avaient un délai de dix jours pour ce faire en vertu de l'art. 8 des conditions générales de l'ASFR. En effet, elles n'avaient formulé aucune réclamation avant le mois de juin 1992.</w:t>
      </w:r>
    </w:p>
    <w:p>
      <w:r>
        <w:t>a) Il est constant et non contesté que la défenderesse, qui s'est obligée à l'endroit des demanderesses à exécuter contre rémunération un ouvrage consistant dans la construction et la livraison d'un réservoir de stockage, a conclu avec celles-ci un contrat d'entreprise au sens des art. 363 ss CO .</w:t>
      </w:r>
    </w:p>
    <w:p>
      <w:r>
        <w:t>b) De manière à lier le Tribunal fédéral ( art. 63 al. 2 OJ ), les juges cantonaux ont constaté qu'il n'était pas établi que les défauts constatés pouvaient être décelés lors de la vérification régulière de l'ouvrage. Il a en effet été retenu en fait que le réservoir a pu être utilisé normalement pendant plus d'une année et demie après sa livraison - survenue le 30 novembre 1990, après que la défenderesse a effectué un essai d'étanchéité à l'air - et que les défauts incriminés n'ont pu être constatés qu'à la suite de l'incident du 21 juin 1992, qui s'est matérialisé par une fuite de plusieurs m3 de glycol.</w:t>
      </w:r>
    </w:p>
    <w:p>
      <w:r>
        <w:t>Ces constatations mettent un terme au débat sur le grief précité. Seuls les défauts apparents doivent en effet être immédiatement signalés après la livraison. Il s'agit de défauts qui sont constatables au premier coup d'oeil, sans qu'un véritable examen de l'ouvrage soit nécessaire, ou qui peuvent l'être en cas d'exécution correcte du devoir de vérification, les défauts cachés étant ceux qui se manifestent plus tard (arrêt du 5 décembre 1995 publié in SJ 1996 p. 353 consid. 6a p. 355; cf. Peter Gauch, Le contrat d'entreprise, adaptation française par Benoît Carron, n. 2074, 2075 et 2151; Tercier, Les contrats spéciaux, 2e éd., n. 3538 et 3539). A ce propos, l'art. 8 des conditions générales de l'ASFR liant les parties ne s'écarte pas du système légal.</w:t>
      </w:r>
    </w:p>
    <w:p>
      <w:r>
        <w:rPr>
          <w:b/>
        </w:rPr>
        <w:t>E. 3</w:t>
      </w:r>
    </w:p>
    <w:p>
      <w:r>
        <w:t>La recourante soutient qu'il incombait au maître de l'ouvrage et non à l'entrepreneur de procéder à une mise en service conforme aux règles de l'art, en ce sens que celle-ci aurait dû être précédée d'un contrôle de la conformité de l'exécution avec les plans du projet, doublé d'un contrôle visuel et par ultrasons des cordons de soudure.</w:t>
      </w:r>
    </w:p>
    <w:p>
      <w:r>
        <w:t>Mais la défenderesse perd totalement de vue qu'il appartient à l'entrepreneur de livrer un ouvrage qui soit conforme au contrat, c'est-à-dire qui soit exempt de défauts; si tel n'est pas le cas, la prestation de l'entrepreneur est défectueuse ( ATF 114 II 239 consid. 5a/aa p. 244; Gauch, op. cit. , n. 1360).</w:t>
      </w:r>
    </w:p>
    <w:p>
      <w:r>
        <w:t>Pour juger de la conformité en cause, il faut prendre en compte l'ouvrage auquel le maître pouvait s'attendre selon les règles de la bonne foi en fonction du contenu du contrat (Gauch, op. cit. , eod. loc.). En particulier, le maître est en droit d'attendre, de bonne foi, que l'ouvrage présente, au moment de sa livraison, les qualités convenues et attendues sans convention particulière (Gauch, op. cit. , n. 1361), l'entrepreneur devant fournir un ouvrage utilisable, qui se trouve ainsi dans un état le rendant pleinement apte à son usage, et dont la valeur correspond à un état normal (Gauch, op. cit. , n. 1407 et 1413).</w:t>
      </w:r>
    </w:p>
    <w:p>
      <w:r>
        <w:t>In casu, il est établi définitivement que la recourante se présentait comme étant, tant au niveau de la fabrication que de la conception, une spécialiste dans le domaine des réservoirs à liquide. Dans ces conditions, il est manifeste qu'elle devait être à même de livrer un réservoir prismatique de stockage de froid latent qui soit exempt de défauts et apte à fonctionner au moins durant le délai de garantie de deux ans prévu par l'art. 9 des conditions générales cité ci-dessus, ce qui n'a pas été le cas.</w:t>
      </w:r>
    </w:p>
    <w:p>
      <w:r>
        <w:t>Ainsi, il appartenait bien à la recourante de vérifier que l'ouvrage soit exécuté conformément aux plans et de contrôler les soudures, afin que la cuve possédât les qualités intrinsèques qui avaient été promises contractuellement.</w:t>
      </w:r>
    </w:p>
    <w:p>
      <w:r>
        <w:t>Ces formalités qui ont trait à l'obligation de l'entrepreneur de produire l'ouvrage n'ont évidemment rien à voir avec les vérifications usuelles incombant au maître après la remise de la chose.</w:t>
      </w:r>
    </w:p>
    <w:p>
      <w:r>
        <w:t>Le moyen est privé de tout fondement.</w:t>
      </w:r>
    </w:p>
    <w:p>
      <w:r>
        <w:rPr>
          <w:b/>
        </w:rPr>
        <w:t>E. 4</w:t>
      </w:r>
    </w:p>
    <w:p>
      <w:r>
        <w:t>La recourante prétend que l'autorité cantonale a violé l' art. 8 CC en considérant qu'il appartenait à l'entrepreneur d'alléguer et de prouver que les défauts de la citerne n'étaient pas des défauts cachés.</w:t>
      </w:r>
    </w:p>
    <w:p>
      <w:r>
        <w:t>Pour toutes les prétentions relevant du droit privé fédéral (cf. ATF 125 III 78 consid. 3b), l' art. 8 CC répartit le fardeau de la preuve ( ATF 122 III 219 consid. 3c) - en l'absence de disposition spéciale contraire - et détermine, sur cette base, laquelle des parties doit assumer les conséquences de l'échec de la preuve ( ATF 127 III 519 consid. 2a; 126 III 189 consid. 2b; 125 III 78 consid. 3b).</w:t>
      </w:r>
    </w:p>
    <w:p>
      <w:r>
        <w:t>Cette disposition ne prescrit cependant pas quelles sont les mesures probatoires qui doivent être ordonnées. Elle n'empêche pas le juge de refuser une mesure probatoire par une appréciation anticipée des preuves. L' art. 8 CC ne dicte pas comment le juge peut forger sa conviction ( ATF 127 III 519 consid. 2a; 122 III 219 consid. 3c; 119 III 60 consid. 2c; 118 II 142 consid. 3a).</w:t>
      </w:r>
    </w:p>
    <w:p>
      <w:r>
        <w:t>Selon la jurisprudence, il appartient à l'entrepreneur d'alléguer, lorsque le maître formule des prétentions en garantie, que l'ouvrage a été accepté tacitement pour le motif que ses défauts ont été annoncés tardivement, le maître devant pour sa part prouver qu'il s'en est prévalu en temps utile ( ATF 118 II 142 consid. 3a p. 147 et les références).</w:t>
      </w:r>
    </w:p>
    <w:p>
      <w:r>
        <w:t>En l'occurrence, les juges cantonaux ont constaté souverainement qu'il n'était pas établi que les défauts incriminés pouvaient être constatés lors de la vérification régulière de l'ouvrage, ce qui clôt la discussion engagée par la recourante.</w:t>
      </w:r>
    </w:p>
    <w:p>
      <w:r>
        <w:rPr>
          <w:b/>
        </w:rPr>
        <w:t>E. 5</w:t>
      </w:r>
    </w:p>
    <w:p>
      <w:r>
        <w:t>La défenderesse fait valoir que sa partie adverse n'a pas agi dans le délai de deux ans prévu par l'art. 9 des conditions générales de l'ASFR, ce qui constituerait un motif de déchéance.</w:t>
      </w:r>
    </w:p>
    <w:p>
      <w:r>
        <w:t>La péremption des droits de garantie n'entre en jeu que si le maître de l'ouvrage omet de signaler immédiatement un défaut apparent ou caché, l'ouvrage étant alors considéré comme accepté avec ses défauts (Gauch, op. cit. , n. 2069, 2070 et 2185). Cette question est à distinguer de celle de la prescription, qui ne se pose que pour les droits de garantie non périmés (Gauch, op. cit. , n. 2195).</w:t>
      </w:r>
    </w:p>
    <w:p>
      <w:r>
        <w:t>En l'espèce, la recourante a exécuté tous les travaux de réfection proposés par le rapport d'expertise privée du 5 novembre 1992. Par le comportement qu'elle a adopté, elle a ainsi renoncé tacitement à se prévaloir d'un avis tardif des défauts constatés par l'expert privé (Gauch, op.</w:t>
      </w:r>
    </w:p>
    <w:p>
      <w:r>
        <w:t>cit. , n. 2163). C'est donc en vain que la défenderesse, à la limite de la bonne foi, soutient le contraire.</w:t>
      </w:r>
    </w:p>
    <w:p>
      <w:r>
        <w:t>Dès lors, seule la question de la prescription pouvait se poser en l'occurrence.</w:t>
      </w:r>
    </w:p>
    <w:p>
      <w:r>
        <w:t>Cependant, il ne résulte pas du jugement attaqué que la défenderesse se soit jamais prévalue de la prescription devant l'autorité de première instance.</w:t>
      </w:r>
    </w:p>
    <w:p>
      <w:r>
        <w:t>Si tant est qu'il faille admettre que la recourante invoque cette exception, le moyen doit être considéré comme nouveau et partant irrecevable à teneur de l' art. 55 al. 1 let . c OJ, dans la mesure où il n'est pas prétendu que la prescription serait intervenue postérieurement au jugement cantonal (cf. ATF 123 III 213 consid. 5).</w:t>
      </w:r>
    </w:p>
    <w:p>
      <w:r>
        <w:rPr>
          <w:b/>
        </w:rPr>
        <w:t>E. 6</w:t>
      </w:r>
    </w:p>
    <w:p>
      <w:r>
        <w:t>La défenderesse nie que les défauts constatés soient constitutifs d'une faute grave de sa part rendant inopérante la limitation de garantie prévue par l'art. 9 des conditions générales de l'ASFR.</w:t>
      </w:r>
    </w:p>
    <w:p>
      <w:r>
        <w:t>a) Il n'est plus contesté que les parties ont intégré les conditions générales de l'ASFR au contrat d'entreprise qu'elles ont passé.</w:t>
      </w:r>
    </w:p>
    <w:p>
      <w:r>
        <w:t>L'interprétation des conditions générales préformulées obéit aux règles ordinaires de l'interprétation des dispositions contractuelles ( ATF 117 II 609 consid. 6c).</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S'il y parvient, il s'agit d'une constatation de fait qui ne peut être remise en cause dans un recours en réforme ( ATF 126 III 25 consid. 3c, 375 consid. 2e/aa; 125 III 305 consid. 2b, 435 consid. 2a/aa).</w:t>
      </w:r>
    </w:p>
    <w:p>
      <w:r>
        <w:t>Si la volonté réelle des parties ne peut pas être établie ou si elle est divergente, le juge doit interpréter les déclarations faites selon la théorie de la confiance. Il doit donc rechercher comment une déclaration ou une attitude pouvait être comprise de bonne foi en fonction de l'ensemble des circonstances (cf. ATF 127 III 444 consid. 1b; 126 III 59 consid. 5b, 375 consid. 2e/aa p. 380). L'application du principe de la confiance est une question de droit que le Tribunal fédéral, saisi d'un recours en réforme, peut examiner librement ( ATF 127 III 248 consid. 3a; 126 III 25 consid. 3c, 59 consid. 5a, 375 consid. 2e/aa p. 379).</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127 III 444 consid. 1b).</w:t>
      </w:r>
    </w:p>
    <w:p>
      <w:r>
        <w:t>b) En l'espèce, l'autorité cantonale s'est limitée à constater que la clause d'exclusion de garantie constituée par l'art. 9 des conditions générales en cause était "nette". On ne sait donc pas si les magistrats vaudois ont déterminé la volonté réelle des plaideurs. Dans le doute, il convient de recourir à l'interprétation selon le principe de la confiance.</w:t>
      </w:r>
    </w:p>
    <w:p>
      <w:r>
        <w:t>Selon l'art. 9 précité, "... La garantie s'étend exclusivement à la modification, la réparation ou au remplacement de la partie défectueuse (de l'ouvrage) ... dans les meilleurs délais. Sont exclues de la garantie, toutes autres revendications, tels notamment les dommages-intérêts suite à des dégâts, pertes de salaire, pénalités pour cause de retard etc. ".</w:t>
      </w:r>
    </w:p>
    <w:p>
      <w:r>
        <w:t>Au regard du libellé de la clause litigieuse, on doit considérer que les parties sont convenues de n'accorder au maître, du point de vue de la garantie de l'entrepreneur, que le droit à la réfection de l'ouvrage. En d'autres termes, le maître n'était pas fondé à réclamer des dommages-intérêts qui pouvaient avoir leur source dans une autre cause que celle se rapportant à la seule réfection de l'ouvrage.</w:t>
      </w:r>
    </w:p>
    <w:p>
      <w:r>
        <w:t>L'utilisation des termes "Sont exclues ... toutes autres revendications" (c'est le Tribunal fédéral qui souligne) et les exemples employés pour illustrer l'exclusion de garantie ne laissent planer aucun doute à cet égard.</w:t>
      </w:r>
    </w:p>
    <w:p>
      <w:r>
        <w:t>De bonne foi, cette clause ne saurait être comprise autrement.</w:t>
      </w:r>
    </w:p>
    <w:p>
      <w:r>
        <w:t>Partant, dans la mesure où les premiers juges ont admis que les factures litigieuses, hormis celles se rapportant aux honoraires de l'expert privé, étaient toutes en rapport avec la remise en état du réservoir à la suite de l'incident du 21 juin 1992, il n'apparaît pas que le jugement déféré soit entaché d'une appréciation juridique erronée des faits de la cause. Ces frais constituaient en effet, comme la cour cantonale l'a bien vu, des frais accessoires à la réfection, dont la prise en charge incombait à l'entrepreneur, étant précisé qu'il en allait de même des frais d'architecte et d'ingénieur qui y étaient liés (Gauch, op.</w:t>
      </w:r>
    </w:p>
    <w:p>
      <w:r>
        <w:t>cit. , n. 1718 et 1719).</w:t>
      </w:r>
    </w:p>
    <w:p>
      <w:r>
        <w:t>Soutenir, comme la défenderesse, que cela ne signifierait pas encore que ces travaux étaient nécessaires à la réfection, revient à s'en prendre, de manière irrecevable, aux constatations souveraines de la cour cantonale. Du reste, l'entrepreneur obligé à réfection ne saurait se limiter à une pure et simple élimination des défauts, mais doit faire exécuter à ses frais tous les travaux préparatoires et de remise en état qu'implique l'élimination des défauts constatés (Gauch, op. cit. , n. 1721).</w:t>
      </w:r>
    </w:p>
    <w:p>
      <w:r>
        <w:t>Pour le surplus, on ne discerne pas en quoi le fait que l'une des factures a été émise par le consortium lui-même formé des demanderesses ferait obstacle à son remboursement.</w:t>
      </w:r>
    </w:p>
    <w:p>
      <w:r>
        <w:t>Sur ce point, le recours, qui ne renferme aucune motivation permettant de discerner comment et dans quelle mesure le droit fédéral aurait été violé, est manifestement irrecevable ( ATF 121 III 397 consid. 2a; 120 II 280 consid. 6c).</w:t>
      </w:r>
    </w:p>
    <w:p>
      <w:r>
        <w:t>Enfin, il n'importe qu'une des factures ait été remboursée aux demanderesses par une assurance. Le paiement des factures incriminées par le consortium, alors que l'obligation de les acquitter incombait à la défenderesse, constitue bien la source d'un dommage aboutissant à une diminution de l'actif des intimées par les dépenses ainsi consenties (Engel, Traité des obligations en droit suisse, 2e éd., p. 474).</w:t>
      </w:r>
    </w:p>
    <w:p>
      <w:r>
        <w:t>C'est donc à bon droit que l'autorité cantonale a jugé que les factures en question, qui avaient trait à la réfection de l'ouvrage, ne tombaient pas sous le coup de la clause d'exclusion de garantie.</w:t>
      </w:r>
    </w:p>
    <w:p>
      <w:r>
        <w:t>c) Il n'en va pas de même de la note d'honoraires de l'expert privé. De fait, elle n'entre pas dans la catégorie des frais accessoires à la réfection, mais constitue un dommage consécutif au défaut (Gauch, op. cit. , n. 1524), dont la réparation est exclue par la clause de limitation de garantie convenue.</w:t>
      </w:r>
    </w:p>
    <w:p>
      <w:r>
        <w:t>Il convient donc de déterminer si la recourante a commis une faute grave en réalisant un ouvrage entaché de défauts.</w:t>
      </w:r>
    </w:p>
    <w:p>
      <w:r>
        <w:t>La réponse à cette question ne peut être qu'affirmative.</w:t>
      </w:r>
    </w:p>
    <w:p>
      <w:r>
        <w:t>Il résulte de l'état de fait définitif que des trous d'homme n'ont pas été exécutés conformément aux plans de la défenderesse du fait des auxiliaires dont elle répond ( art. 101 CO ), qu'elle n'a pas prévu de renforcements locaux alors que la dimension de ces trous l'imposait et que certaines soudures étaient de piètre qualité. S'agissant d'une entreprise qui se présentait comme spécialisée dans le domaine des réservoirs à liquide, de tels manquements, qui affectent la structure même de l'ouvrage, doivent sans conteste être qualifiés de graves.</w:t>
      </w:r>
    </w:p>
    <w:p>
      <w:r>
        <w:t>Il en découle que, conformément à l' art. 100 al. 1 CO , l'exclusion de la responsabilité de la défenderesse n'était pas valable pour la facture de l'expert privé, comme l'ont bien vu les juges vaudois.</w:t>
      </w:r>
    </w:p>
    <w:p>
      <w:r>
        <w:rPr>
          <w:b/>
        </w:rPr>
        <w:t>E. 7</w:t>
      </w:r>
    </w:p>
    <w:p>
      <w:r>
        <w:t>Par un dernier moyen, la recourante prétend qu'il y avait matière à réduction de l'indemnité au sens de l' art. 44 CO pour le motif que des faits dont le lésé était responsable avaient contribué à créer ou à aggraver le dommage.</w:t>
      </w:r>
    </w:p>
    <w:p>
      <w:r>
        <w:t>Elle soutient qu'il aurait fallu procéder, avant la mise en service de l'installation, à un essai pour déterminer si le réservoir était étanche à l'eau.</w:t>
      </w:r>
    </w:p>
    <w:p>
      <w:r>
        <w:t>Certes, un tel essai avait été préconisé par la défenderesse et il lui avait été opposé le fait qu'une telle mesure n'était alors pas possible en l'absence d'un système d'évacuation des eaux.</w:t>
      </w:r>
    </w:p>
    <w:p>
      <w:r>
        <w:t>Néanmoins, il faut rappeler que l'entrepreneur a une obligation générale de diligence et qu'il existe entre lui et le maître un rapport de confiance, lequel requiert que le premier remplisse consciencieusement ses obligations (Tercier, op. cit. , n. 3457).</w:t>
      </w:r>
    </w:p>
    <w:p>
      <w:r>
        <w:t>L'une des conséquences qui en résulte consiste dans les devoirs d'avis qui incombent à l'entrepreneur, lesquels ont leur fondement dans l'idée que celui-ci n'est pas tenu seulement de suivre fidèlement les instructions du maître, mais encore qu'en sa qualité de spécialiste, il doit conseiller le maître et lui signaler toute circonstance importante qui influe sur l'exécution de l'ouvrage, de telle sorte que ce dernier puisse comprendre sans équivoque la nature et l'importance des remarques ainsi formulées (Tercier, op. cit. , n. 3460 à3464).</w:t>
      </w:r>
    </w:p>
    <w:p>
      <w:r>
        <w:t>Dès lors, c'est à juste titre que l'autorité cantonale a pris en considération l'avis des experts judiciaires à cet égard et qu'elle a estimé qu'il appartenait à la recourante d'adresser un tel avis aux demanderesses à propos des conséquences de la non-exécution d'un essai de pression à l'eau avant la mise en service du réservoir.</w:t>
      </w:r>
    </w:p>
    <w:p>
      <w:r>
        <w:t>Il appert ainsi que l'application de l' art. 44 CO in casu n'entrait manifestement pas en ligne de compte.</w:t>
      </w:r>
    </w:p>
    <w:p>
      <w:r>
        <w:rPr>
          <w:b/>
        </w:rPr>
        <w:t>E. 8</w:t>
      </w:r>
    </w:p>
    <w:p>
      <w:r>
        <w:t>Au vu de ce qui précède, le recours doit être rejeté dans la mesure de sa recevabilité, le jugement attaqué étant confirmé. Les frais de justice seront supportés par la défenderesse. En revanche, les intimées, qui n'ont pas procédé,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