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4C.148/2005 vom 22. November 2005</w:t>
      </w:r>
    </w:p>
    <w:p>
      <w:r>
        <w:t>Bundesgericht, 2005-11-22, IT</w:t>
      </w:r>
    </w:p>
    <w:p>
      <w:r>
        <w:rPr>
          <w:b/>
        </w:rPr>
        <w:t xml:space="preserve">Quelle: </w:t>
      </w:r>
      <w:r>
        <w:t>https://mcp.opencaselaw.ch/entscheid/bger_4C.148_2005</w:t>
      </w:r>
    </w:p>
    <w:p>
      <w:r>
        <w:t>FR: TF 4C.148/2005 du 22 novembre 2005</w:t>
      </w:r>
    </w:p>
    <w:p>
      <w:r>
        <w:t>IT: TF 4C.148/2005 del 22 novembre 2005</w:t>
      </w:r>
    </w:p>
    <w:p>
      <w:pPr>
        <w:pStyle w:val="Heading2"/>
      </w:pPr>
      <w:r>
        <w:t>Erwägungen</w:t>
      </w:r>
    </w:p>
    <w:p>
      <w:r>
        <w:rPr>
          <w:b/>
        </w:rPr>
        <w:t>E. 1</w:t>
      </w:r>
    </w:p>
    <w:p>
      <w:r>
        <w:t>L'impugnativa sottoposta all'esame del Tribunale federale è suddivisa in undici parti, intitolate: I. In ordine; II. Preliminarmente; III. Antefatti; IV. Sulla fattispecie esaminata dal TdA; V. Questioni in diritto sollevate davanti al TdA; VI. Altre considerazioni in diritto; VII. I mezzi d'impugnazione davanti al TF; VIII. Ricorso di diritto pubblico; IX. Ricorso per riforma; X. Nullità; XI. Richiesta dell'effetto sospensivo.</w:t>
      </w:r>
    </w:p>
    <w:p>
      <w:r>
        <w:t>In questo documento, di una trentina di pagine, la patrocinatrice della convenuta presenta la cronistoria della causa (dalla sua introduzione nel 2000 sino ad oggi) e ripropone, fra l'altro, critiche contro l'ordinanza 28 dicembre 2001 - che ha peraltro già impugnato dinanzi al Tribunale federale (causa 4P.19/2002) - così come contro gli ulteriori atti processuali, dimenticando che, se del caso, essa avrebbe potuto e dovuto aggravarsi contro di essi a quell'epoca, nei modi e nei tempi previsti dalla legge.</w:t>
      </w:r>
    </w:p>
    <w:p>
      <w:r>
        <w:t>Giovi allora rammentare che l'attuale procedimento verte esclusivamente sulla decisione emanata dalla II Camera civile del Tribunale d'appello del Cantone Ticino il 21 aprile 2005, con la quale è stata confermata la competenza del giudice di Lugano e respinta l'eccezione di litispendenza.</w:t>
      </w:r>
    </w:p>
    <w:p>
      <w:r>
        <w:rPr>
          <w:b/>
        </w:rPr>
        <w:t>E. 2</w:t>
      </w:r>
    </w:p>
    <w:p>
      <w:r>
        <w:t>Già si è detto che l'allegato ricorsuale racchiude tre rimedi: un ricorso di diritto pubblico, un ricorso per riforma e un ricorso per nullità.</w:t>
      </w:r>
    </w:p>
    <w:p>
      <w:r>
        <w:t>A norma dell' art. 57 cpv. 5 OG (applicabile anche al ricorso per nullità in virtù del rinvio contenuto nell' art. 74 OG ; cfr. sentenza inedita del 4C.59/2003 del 26 maggio 2003 consid. 1.1 e DTF 118 II 521 consid. 1a) un ricorso di diritto pubblico viene trattato, in linea di principio, prima del parallelo ricorso per riforma, rispettivamente prima del ricorso per nullità. Si può tuttavia derogare a questa regola quando, come nel caso in esame, il ricorso per riforma - rispettivamente il ricorso per nullità - verte sulla questione della competenza, che dev'essere decisa preliminarmente ( DTF 86 II 139 ; Jean-François Poudret, Commentaire de la loi fédérale d'organisation judiciaire, vol. II, Berna 1990, n. 5 ad art. 57 OG ).</w:t>
      </w:r>
    </w:p>
    <w:p>
      <w:r>
        <w:rPr>
          <w:b/>
        </w:rPr>
        <w:t>E. 3</w:t>
      </w:r>
    </w:p>
    <w:p>
      <w:r>
        <w:t>Il Tribunale federale si pronuncia d'ufficio e con pieno potere d'esame sull'ammissibilità del rimedio esperito ( DTF 131 I 57 consid. 1).</w:t>
      </w:r>
    </w:p>
    <w:p>
      <w:r>
        <w:rPr>
          <w:b/>
        </w:rPr>
        <w:t>E. 3.1</w:t>
      </w:r>
    </w:p>
    <w:p>
      <w:r>
        <w:t>Nella fattispecie in rassegna viene impugnata una decisione incidentale sulla competenza territoriale. Emanata dal tribunale supremo ticinese nell'ambito di una causa civile di carattere pecuniario, il cui valore litigioso davanti all'ultima istanza cantonale era superiore a fr. 8000.-- ( art. 46 OG ), essa può fare l'oggetto di un ricorso per riforma al Tribunale federale giusta l' art. 49 OG .</w:t>
      </w:r>
    </w:p>
    <w:p>
      <w:r>
        <w:rPr>
          <w:b/>
        </w:rPr>
        <w:t>E. 3.2</w:t>
      </w:r>
    </w:p>
    <w:p>
      <w:r>
        <w:t>Questo basta per escludere la possibilità di introdurre un ricorso per nullità, anche solo in via subordinata. Tale rimedio può infatti essere presentato unicamente qualora il ricorso per riforma in virtù degli art. 44 a 46 OG non sia proponibile ( art. 68 cpv. 1 OG ; cfr. Bernard Corboz, Le recours en réforme au Tribunal fédéral, in: SJ 2000 pag. 1 segg., in particolare pag. 3; Jean-François Poudret, op. cit., n. 2.2 ad art. 68 OG ).</w:t>
      </w:r>
    </w:p>
    <w:p>
      <w:r>
        <w:rPr>
          <w:b/>
        </w:rPr>
        <w:t>E. 4</w:t>
      </w:r>
    </w:p>
    <w:p>
      <w:r>
        <w:t>Ne discende che il ricorso per nullità risulta d'acchito inammissibile.</w:t>
      </w:r>
    </w:p>
    <w:p>
      <w:r>
        <w:t>Gli oneri processuali e le ripetibili seguono la soccombenza (art. 156 cpv. 1 e 159 cpv. 1 e 2 OG).</w:t>
      </w:r>
    </w:p>
    <w:p>
      <w:r>
        <w:t>Per questi motivi, visto l' art. 36a OG , il Tribunale federale pronuncia:</w:t>
      </w:r>
    </w:p>
    <w:p>
      <w:r>
        <w:t>1.</w:t>
      </w:r>
    </w:p>
    <w:p>
      <w:r>
        <w:t>Il ricorso per nullità è inammissibile.</w:t>
      </w:r>
    </w:p>
    <w:p>
      <w:r>
        <w:t>2.</w:t>
      </w:r>
    </w:p>
    <w:p>
      <w:r>
        <w:t>La tassa di giustizia di fr. 2'500.-- è posta a carico della convenuta, la quale rifonderà all'attrice fr. 3'000.-- per ripetibili della sede federale.</w:t>
      </w:r>
    </w:p>
    <w:p>
      <w:r>
        <w:t>3.</w:t>
      </w:r>
    </w:p>
    <w:p>
      <w:r>
        <w:t>Comunicazione ai patrocinatori delle parti e alla II Camera civile del Tribunale d'appello del Cantone Ticino.</w:t>
      </w:r>
    </w:p>
    <w:p>
      <w:r>
        <w:t>Losanna, 22 novembre 2005</w:t>
      </w:r>
    </w:p>
    <w:p>
      <w:r>
        <w:t>In nome della I Corte civile</w:t>
      </w:r>
    </w:p>
    <w:p>
      <w:r>
        <w:t>del Tribunale federale svizzero</w:t>
      </w:r>
    </w:p>
    <w:p>
      <w:r>
        <w:t>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