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4C.147/2004 vom 17. August 2004</w:t>
      </w:r>
    </w:p>
    <w:p>
      <w:r>
        <w:t>Bundesgericht, 2004-08-17, DE</w:t>
      </w:r>
    </w:p>
    <w:p>
      <w:r>
        <w:rPr>
          <w:b/>
        </w:rPr>
        <w:t xml:space="preserve">Quelle: </w:t>
      </w:r>
      <w:r>
        <w:t>https://mcp.opencaselaw.ch/entscheid/bger_4C.147_2004</w:t>
      </w:r>
    </w:p>
    <w:p>
      <w:r>
        <w:t>FR: TF 4C.147/2004 du 17 août 2004</w:t>
      </w:r>
    </w:p>
    <w:p>
      <w:r>
        <w:t>IT: TF 4C.147/2004 del 17 agosto 2004</w:t>
      </w:r>
    </w:p>
    <w:p>
      <w:pPr>
        <w:pStyle w:val="Heading2"/>
      </w:pPr>
      <w:r>
        <w:t>Regeste</w:t>
      </w:r>
    </w:p>
    <w:p>
      <w:r>
        <w:t>Vertragsrecht</w:t>
      </w:r>
    </w:p>
    <w:p>
      <w:pPr>
        <w:pStyle w:val="Heading2"/>
      </w:pPr>
      <w:r>
        <w:t>Erwägungen</w:t>
      </w:r>
    </w:p>
    <w:p>
      <w:r>
        <w:rPr>
          <w:b/>
        </w:rPr>
        <w:t>E. 1</w:t>
      </w:r>
    </w:p>
    <w:p>
      <w:r>
        <w:t>Nach Art. 48 Abs. 1 OG ist die Berufung - von hier nicht interessierenden Ausnahmen abgesehen - erst gegen Endentscheide der oberen kantonalen Gerichte zulässig. Auf den Antrag um Aufhebung des erstinstanzlichen Urteils ist deshalb nicht einzutreten.</w:t>
      </w:r>
    </w:p>
    <w:p>
      <w:r>
        <w:rPr>
          <w:b/>
        </w:rPr>
        <w:t>E. 2</w:t>
      </w:r>
    </w:p>
    <w:p>
      <w:r>
        <w:t>Unter welchen Voraussetzungen die gerichtliche Feststellung des Bestehens oder Nichtbestehens bundesrechtlicher Ansprüche verlangt werden kann, ist eine Frage des Bundesrechts ( BGE 129 III 295 E. 2.2 S. 299, mit Hinweisen). Die Feststellungsklage ist insbesondere zuzulassen, wenn die Rechtsbeziehungen der Parteien ungewiss sind, die Ungewissheit durch die Feststellung über Bestand und Inhalt des Rechtsverhältnisses beseitigt werden kann und ihre Fortdauer der Klagpartei nicht zugemutet werden kann, weil sie sie in ihrer Bewegungsfreiheit behindert ( BGE 123 III 414 E. 7b S. 429; 120 II 20 E. 3a S. 22, mit Hinweisen). Das daraus abgeleitete Rechtsschutzinteresse an der Feststellung kann rechtlicher oder tatsächlicher Natur sein, muss aber erheblich sein. Es ist nur gegeben, wenn der Kläger das mit der Feststellungsklage verfolgte Ziel nicht durch eine Leistungs-, Gestaltungs- oder Unterlassungsklage erreichen kann ( BGE 123 III 414 E. 7b S. 429; 120 II 20 E. 3a S. 22, mit Hinweisen; Frank/Sträuli/ Messmer, ZPO - Kommentar zur Zürcherischen Zivilprozessordnung, 3. Aufl., Zürich 1997, N 1 zu § 59; Guldener, Schweizerisches Zivilprozessrecht, 3. Aufl., Zürich 1979, S. 141 und 209f.; Habscheid, Schweizerisches Zivilprozess- und Gerichtsorganisationsrecht, 2. Aufl., Basel 1990, Rz. 352; Hohl, Procédure civile, Tome I, Bern 2001, Rz. 133 ff.). Zu richten ist die Klage gegen die Person, gegenüber welcher das Interesse an der Feststellung besteht (Guldener, a.a.O., S. 141). Ein Feststellungsinteresse hinsichtlich der Rechtsbeziehung Dritter ist nur ausnahmsweise gegeben, wenn Bestand und Inhalt der Rechtsbeziehung unter den Parteien vom Bestehen eines bestimmten Rechtsverhältnisses zwischen Dritten bzw. zwischen einer der Prozessparteien und Dritten abhängt ( BGE 108 II 475 E. 1a S. 477; 93 II 11 E. 2c S. 16; kritisch dazu Leuch/Marbach/Kellerhals/Sterchi, Die Zivilprozessordnung für den Kanton Bern, 5. Aufl., Bern 2000, N 2b zu Art. 174, mit Hinweisen). Weil das Bundesrecht auch den Beklagten vor einer Feststellungsklage schützen muss, an der kein schützenswertes Interesse besteht, ist stets eine Interessenabwägung vorzunehmen ( BGE 110 II 352 E. 1b S. 355, mit Hinweisen; vgl. auch BGE 120 II 20 E. 3a S. 22 f.). Zeigt sich nach sorgfältiger Prüfung des rechtlichen Interesses an der Feststellung einer Drittrechtsbeziehung, dass hierüber keine Rechtsgewissheit erreicht werden kann, etwa weil das angestrebte Urteil den Dritten nicht zu binden vermag, ist das Interesse zu verneinen (Stein/Jonas, Kommentar zur Zivilprozessordnung, 22. Aufl., Tübingen 2002, N 38 zu § 256). Denn grundsätzlich ist ein schutzwürdiges Interesse an einer Feststellung nur gegeben, soweit die Rechtskraft des Urteils reicht, da dieses lediglich insoweit verbindlich und geeignet ist, der Gefährdung der Rechtsstellung des Feststellungsklägers entgegenzutreten ( BGE 93 II 11 E. 2c S. 17). Das Feststellungsurteil ist als solches der Vollstreckung nicht zugänglich, kann aber zum Ausgangspunkt einer Leistungsklage gemacht werden (Guldener, a.a.O., S. 211).</w:t>
      </w:r>
    </w:p>
    <w:p>
      <w:r>
        <w:rPr>
          <w:b/>
        </w:rPr>
        <w:t>E. 3.1</w:t>
      </w:r>
    </w:p>
    <w:p>
      <w:r>
        <w:t>Nach den für das Bundesgericht verbindlichen Feststellungen im angefochtenen Urteil kam es zum eingangs wiedergegebenen Vergleich, weil die D.________ AG aufgrund von Äusserungen des Beklagten befürchtete, dass die vom Kläger ihr gegenüber geltend gemachten Ansprüche dem Beklagten zustehen könnten. Die D.________ AG war sich über die Höhe der mit den Bauarbeiten eingegangenen Verbindlichkeit im Klaren, hegte jedoch Zweifel mit Bezug auf die Person des Gläubigers und wollte sich offensichtlich vor einer Doppelzahlung schützen. Die negative Feststellungsklage diente dem Kläger demnach richtig besehen nicht dazu, eine Unsicherheit im Verhältnis zwischen ihm und dem Beklagten, sondern um eine solche zwischen dem Beklagten und einer Drittpartei zu beseitigen und dadurch die im Vergleich stipulierte Bedingung für die Zahlung des vereinbarten Betrages zu erfüllen.</w:t>
      </w:r>
    </w:p>
    <w:p>
      <w:r>
        <w:rPr>
          <w:b/>
        </w:rPr>
        <w:t>E. 3.2</w:t>
      </w:r>
    </w:p>
    <w:p>
      <w:r>
        <w:t>Dieses Ziel ist auf andere Weise als durch die vom Kläger geforderte gerichtliche Feststellung erreichbar, weshalb die Feststellungsklage wegen ihrer Subsidiarität unzulässig ist. Wie das erstinstanzliche Gericht zutreffend erwog, steht dem Kläger die Leistungsklage gegenüber seiner Schuldnerin offen, verfügt er doch mit dem Vergleich nicht bereits über einen Vollstreckungstitel, weil die für dessen Inkrafttreten vereinbarte Bedingung nicht eingetreten ist. Es wird Sache der Schuldnerin sein, die Aktivlegitimation des Klägers zu bestreiten, worauf dieser seine Rechtszuständigkeit an der eingeklagten Forderung zu beweisen haben wird. Gegebenenfalls kann sich die Schuldnerin auch durch Hinterlegung rechtsgültig von ihrer Zahlungspflicht befreien (Art. 96 in Verbindung mit Art. 92 OR ; zu den Voraussetzungen der Hinterlegung vgl. Bernet, Basler Kommentar, 3. Aufl., N 2ff. zu Art. 96 OR ; Schraner, Zürcher Kommentar, N 24 zu Art. 96 OR ). Selbst wenn im Vergleich ein rechtsgültiger Verzicht der Klägers darauf zu erblicken wäre, gegenüber der D.________ AG den Rechtsweg zu beschreiten, müsste sich der Beklagte eine derartige Vereinbarung als res inter alios acta nicht entgegenhalten lassen, so dass der Kläger daraus kein Rechtsschutzinteresse an einer negativen Feststellungsklage gegenüber dem Beklagten ableiten könnte.</w:t>
      </w:r>
    </w:p>
    <w:p>
      <w:r>
        <w:rPr>
          <w:b/>
        </w:rPr>
        <w:t>E. 3.3</w:t>
      </w:r>
    </w:p>
    <w:p>
      <w:r>
        <w:t>Hinzu kommt, dass ein Feststellungsurteil den gewünschten Erfolg nicht herbeizuführen vermöchte, hätte es doch lediglich Rechtskraftwirkung unter den Parteien des vorliegenden Prozesses (zur subjektiven Relativität der materiellen Rechtskraft vgl. Urteil des Bundesgericht 5C.253/2000 vom 6. März 2001, E. 4d, mit Hinweisen; Vogel/ Spühler, Grundriss des Zivilprozessrechts und des internationalen Zivilprozessrechts der Schweiz, 7. Aufl., Zürich 2001, 8. Kapitel, Rz. 81), und würde es dem Beklagten selbst dann nicht verwehren, die Schuldnerin gerichtlich auf Zahlung jener Bauarbeiten zu belangen, für die ihm ein Recht auf Abgeltung im Feststellungsprozess abgesprochen worden wäre. Dass der Beklagte, sollte er im Feststellungsverfahren unterliegen, möglicherweise von einer Klage gegen die D.________ AG absehen wird, reicht zur Begründung des Feststellungsinteresses nicht aus (vgl. Stein/Jonas, a.a.O., N 38 zu § 256). Die Feststellungsklage stellt somit nicht das geeignete Mittel dar, um den damit vom Kläger verfolgten Zweck, die definitive Klärung der Rechtsbeziehung zwischen dem Beklagten und der D.________ AG, zu erreichen.</w:t>
      </w:r>
    </w:p>
    <w:p>
      <w:r>
        <w:rPr>
          <w:b/>
        </w:rPr>
        <w:t>E. 4</w:t>
      </w:r>
    </w:p>
    <w:p>
      <w:r>
        <w:t>Aus den dargelegten Gründen hat die Vorinstanz im Ergebnis zu Recht ein erhebliches und schützenswertes Interesse des Klägers an der negativen Feststellungsklage verneint. Unter diesen Umständen nützt es dem Kläger nichts, dass er in der Berufung zutreffend vorträgt, mit ihrer Auffassung, der Kläger könne vom Beklagten sogleich eine vollstreckbare Leistung verlangen, nämlich die Abgabe einer Willenserklärung, indem er dem Gericht die Verpflichtung des Beklagten beantrage, eine Erklärung zu unterzeichnen, wonach diesem gegenüber der D.________ AG für die betreffenden Bauarbeiten keine Forderungen mehr zustünden, verkenne die Vorinstanz, dass für eine derartige Verpflichtung des Beklagten kein Rechtsgrund bestehe. Die Berufung ist daher abzuweisen, wobei der Kläger kosten- und entschädigungspflichtig wird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