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4C.145/2005 vom 6. Juli 2005</w:t>
      </w:r>
    </w:p>
    <w:p>
      <w:r>
        <w:t>Bundesgericht, 2005-07-06, DE</w:t>
      </w:r>
    </w:p>
    <w:p>
      <w:r>
        <w:rPr>
          <w:b/>
        </w:rPr>
        <w:t xml:space="preserve">Quelle: </w:t>
      </w:r>
      <w:r>
        <w:t>https://mcp.opencaselaw.ch/entscheid/bger_4C.145_2005</w:t>
      </w:r>
    </w:p>
    <w:p>
      <w:r>
        <w:t>FR: TF 4C.145/2005 du 6 juillet 2005</w:t>
      </w:r>
    </w:p>
    <w:p>
      <w:r>
        <w:t>IT: TF 4C.145/2005 del 6 luglio 2005</w:t>
      </w:r>
    </w:p>
    <w:p>
      <w:pPr>
        <w:pStyle w:val="Heading2"/>
      </w:pPr>
      <w:r>
        <w:t>Regeste</w:t>
      </w:r>
    </w:p>
    <w:p>
      <w:r>
        <w:t>Auftrag; Regressforderung betreffend Verrechnungssteuer | Vertragsrecht</w:t>
      </w:r>
    </w:p>
    <w:p>
      <w:pPr>
        <w:pStyle w:val="Heading2"/>
      </w:pPr>
      <w:r>
        <w:t>Erwägungen</w:t>
      </w:r>
    </w:p>
    <w:p>
      <w:r>
        <w:rPr>
          <w:b/>
        </w:rPr>
        <w:t>E. 1.1</w:t>
      </w:r>
    </w:p>
    <w:p>
      <w:r>
        <w:t>Die Berufung ist zulässig in Zivilsachen bzw. Zivilrechtsstreitigkeiten ( Art. 44, 45 und 46 OG ). Unter einer Zivilrechtsstreitigkeit versteht die Rechtsprechung ein kontradiktorisches Verfahren zwischen zwei oder mehreren natürlichen oder juristischen Personen in ihrer Eigenschaft als Trägerinnen privater Rechte oder zwischen solchen Personen und einer Behörde, die nach Bundesrecht die Stellung einer Partei einnimmt. Entscheidend ist dabei, dass die Parteien nach ihren Rechtsbegehren und Sachvorbringen Ansprüche des Bundeszivilrechts erhoben haben und ebensolche objektiv streitig sind. Als Zivilrechtsstreitigkeit gilt insbesondere auch die Frage, ob bundesprivatrechtliche Ansprüche streitig sind ( BGE 128 III 250 E. 1a; BGE 129 III 415 E. 2, je mit Verweisen). Da die Vorinstanz - entgegen den Vorbringen der Klägerin - verneint hat, dass diese privatrechtliche Ansprüche einklagt, liegt eine Zivilrechtsstreitigkeit vor.</w:t>
      </w:r>
    </w:p>
    <w:p>
      <w:r>
        <w:rPr>
          <w:b/>
        </w:rPr>
        <w:t>E. 1.2</w:t>
      </w:r>
    </w:p>
    <w:p>
      <w:r>
        <w:t>Die Berufung ist in der Regel erst gegen letztinstanzliche Endentscheide der kantonalen Gerichte zulässig ( Art. 48 Abs. 1 OG ). Nichteintretensentscheide werden als Endentscheide im Sinne dieser Bestimmung betrachtet, wenn sie den Streit über einen Anspruch unter zivilrechtlichen Gesichtspunkten endgültig beenden, auch wenn eine öffentlichrechtliche Subsumtion noch aussteht ( BGE 128 III 250 E. 1b). Da die Vorinstanz auf die Klage mit der Begründung nicht eingetreten ist, die eingeklagte Forderung sei nicht privatrechtlicher Natur, liegt ein Endentscheid im Sinne von Art. 48 Abs. 1 OG vor.</w:t>
      </w:r>
    </w:p>
    <w:p>
      <w:r>
        <w:rPr>
          <w:b/>
        </w:rPr>
        <w:t>E. 1.3</w:t>
      </w:r>
    </w:p>
    <w:p>
      <w:r>
        <w:t>Die übrigen Voraussetzungen für die Zulässigkeit der Berufung sind gegeben. Insbesondere ist der nach Art. 46 OG erforderliche Streitwert in der vorliegenden Zivilrechtsstreitigkeit erreicht. Nachdem die Vorinstanz die Klage materiell nicht beurteilt hat, fehlen im angefochtenen Urteil die tatsächlichen Feststellungen, welche dem Bundesgericht im Falle der Gutheissung des Rechtsmittels einen Entscheid in der Sache erlauben würden; der blosse Antrag auf Rückweisung ist daher zulässig ( BGE 125 III 412 E. 1b mit Verweisen). Auf die Berufung ist einzutreten und es ist zu prüfen, ob die Vorinstanz die privatrechtliche Natur der eingeklagten Forderung zu Recht verneint hat.</w:t>
      </w:r>
    </w:p>
    <w:p>
      <w:r>
        <w:rPr>
          <w:b/>
        </w:rPr>
        <w:t>E. 2</w:t>
      </w:r>
    </w:p>
    <w:p>
      <w:r>
        <w:t>Die Vorinstanz hat erwogen, Anstände über den Regressanspruch des Verrechnungssteuerpflichtigen gegenüber dem Steuerträger im Sinne von Art. 14 VStG seien nicht vom Zivilrichter, sondern ausschliesslich von der EStV gemäss Art. 41 VStG - unter Vorbehalt der Ergreifung von Rechtsmitteln ( Art. 42 ff. VStG ) - zu entscheiden. Da der Beklagte den Regressanspruch mit der Begründung bestreite, er sei nicht Empfänger der steuerbaren Leistung gewesen, stelle er den öffentlichrechtlichen Regressanspruch selbst in Frage, zu dessen Beurteilung die Zivilgerichte nicht zuständig seien.</w:t>
      </w:r>
    </w:p>
    <w:p>
      <w:r>
        <w:rPr>
          <w:b/>
        </w:rPr>
        <w:t>E. 2.1</w:t>
      </w:r>
    </w:p>
    <w:p>
      <w:r>
        <w:t>Der steuerpflichtige Schuldner hat die steuerbare Leistung ( Art. 10 Abs. 1 VStG ) nach Art. 14 Abs. 1 VStG bei der Auszahlung, Überweisung, Gutschrift oder Verrechnung ohne Rücksicht auf die Person des Gläubigers um den Steuerbetrag zu kürzen. Vereinbarungen, die dieser Verpflichtung widersprechen, sind nichtig. Sowohl der Sicherungszweck als auch der Fiskalzweck der Verrechnungssteuer gebieten deren Überwälzung, weshalb der Steuerpflichtige - unter Strafdrohung ( Art. 63 VStG ) - dazu öffentlichrechtlich verpflichtet ist (Reich, in Zweifel/Athanas/Bauer-Balmelli [Hrsg.], Kommentar zum schwei-zerischen Steuerrecht, Bd. II/2, Bundesgesetz über die Verrechnungssteuer, Basel 2005, N 9 zu Art. 14; Blumenstein/Locher, System des schweizerischen Steuerrechts, 6. Aufl., Zürich 2002, S. 335; Thomas Koller, Harmonien und Dissonanzen im Verhältnis zwischen Privatrecht und Steuerrecht, SJZ 2000, S. 308). Wenn die Überwälzung der Steuer wegen der Natur der steuerbaren Leistung (Sachleistungen, z.B. Gratisaktien) nicht durch Kürzung möglich ist oder wenn eine Überwälzung tatsächlich nicht erfolgt, so entsteht aus Art. 14 Abs. 1 VStG von Gesetzes wegen zugunsten des Steuerpflichtigen eine öffentlich Regressforderung gegenüber dem Empfänger der steuerbaren Leistung (Reich, a.a.O., N 31/22 zu Art. 14; Blumenstein/ Locher, a.a.O., S. 84; Pfund, Die eidgenössische Verrechnungssteuer, Basel 1971, N 2.2 zu Art. 14). Nach Art. 41 VStG trifft die EStV alle Entscheide, welche die Erhebung der Verrechnungssteuer notwendig macht; sie entscheidet insbesondere dann, wenn die Steuerforderung, die Mithaftung oder die Überwälzungspflicht bestritten wird (lit. a). Sie kann einen Entscheid namentlich zur Durchsetzung der Regressforderung erlassen ( BGE 118 Ib 317 E. 3b; Reich, a.a.O., N 36 zu Art. 14).</w:t>
      </w:r>
    </w:p>
    <w:p>
      <w:r>
        <w:rPr>
          <w:b/>
        </w:rPr>
        <w:t>E. 2.2</w:t>
      </w:r>
    </w:p>
    <w:p>
      <w:r>
        <w:t>Die Abgrenzung der Zuständigkeit der EStV von derjenigen der Zivilgerichte fällt nicht immer leicht (Thomas Koller, Privatrecht und Steuerrecht, Bern 1993, S. 105 f.). Nach einer älteren Lehrmeinung ergibt sich aus der öffentlichrechtlichen Natur der Regressforderung die ausschliessliche Zuständigkeit der Steuerbehörden, über Höhe, Bestand, Gläubiger und Schuldner der Regressforderung zu entscheiden (Pfund, a.a.O., N 1.3/4.1 ff., insbes. N 4.6 in fine zu Art. 14). Für den Fall, dass sich der mutmassliche oder bereits in Anspruch genommene Regressschuldner der Überwälzung widersetzt, wird er auch in der neueren Lehre als legitimiert angesehen, die Regresspflicht und auch die Steuerpflicht als solche im verwaltungsrechtlichen Verfahren zu bestreiten (Reich, a.a.O., N 36 zu Art. 14). Dagegen kann nach einer ebenfalls neueren Lehrmeinung die Kompetenz der EStV nicht so weit gehen, im Streitfall praktisch wie ein Zivilgericht zu entscheiden, wem die steuerbare Leistung wirklich zugekommen sei (vgl. Hochreutener, Verfahrensfragen im Bereich der Stempelabgaben und der Verrechnungssteuer, ASA Bd. 57, 1989, S. 602). Das Bundesgericht hat in seiner älteren Praxis erkannt, die eidgenössische Steuerverwaltung sei zuständig zum Entscheid von Streitigkeiten über jede gesetzlich zwingend vorgeschriebene Überwälzung von Abgaben zwischen dem Schuldner und seinem Gläubiger ( BGE 77 I 12 E. 2 S. 18; Urteil vom 5. März 1948 E. 4, in ASA Bd. 17, 1948/49, S. 459 f.; vgl. auch das obiter dictum in BGE 108 II 490 E. 5 S. 494; Frage offen gelassen in BGE 115 Ib 274 E. 19b S. 291 f.).</w:t>
      </w:r>
    </w:p>
    <w:p>
      <w:r>
        <w:rPr>
          <w:b/>
        </w:rPr>
        <w:t>E. 2.3</w:t>
      </w:r>
    </w:p>
    <w:p>
      <w:r>
        <w:t>Der bundesgerichtlichen Praxis ist entgegen der in einer älteren Lehrmeinung geäusserten Ansicht nicht zu entnehmen, dass die Administrativbehörden ausschliesslich zur Beurteilung der Regressforderung eines zur Überwälzung einer Abgabe Verpflichteten zuständig sein sollten und dass der Zivilrichter insbesondere nicht befugt sein sollte, die Frage der zwingenden Überwälzung vorfrageweise zu entscheiden (so aber Pfund, a.a.O., N 4.6 in fine zu Art. 14). Die Zuständigkeit von Gerichten zur vorfrageweisen Beurteilung so genannter "fremdrechtlicher" Fragen - d.h. vorliegend nicht Fragen einer ausländischen Rechtsordnung, sondern eines andern die Zuständigkeit bestimmenden (inländischen) Rechtsgebiets - ist unbesehen der Art dieser Fragen im Grundsatz allgemein anerkannt ( BGE 120 V 378 E. 3a, 392 E. 2c; 112 IV 115 E. 4a; 110 II 360 S. 368 E. 4; 108 II 456 E. 2, je mit Hinweisen; vgl. auch Urteil 1P.595/2000 vom 23.3.2001, in ZBl 103/2002 S. 311 E. 3b). Insbesondere sind die Zivilgerichte nach konstanter Praxis zuständig zur Beurteilung öffentlichrechtlicher Vorfragen, die (noch) nicht Gegenstand eines rechtskräftigen Entscheides der zuständigen Verwaltungs- und Verwaltungsgerichtsbehörden bilden ( BGE 108 II 456 E. 2; Vogel/Spühler, Grundriss des Zivilprozessrechts, 7. Aufl. Bern 2001, N 131/S. 385; Rhinow/Koller/Kiss, Öffentliches Prozessrecht und Justizverfassungsrecht des Bundes, Basel 1996, N 920/S. 177). Es ist nicht nachvollziehbar, weshalb es sich vorliegend anders verhalten sollte. Die Frage, wer regresspflichtiger Empfänger der steuerbaren Leistung ist, hängt sowohl davon ab, von wem der steuerbare Ertrag tatsächlich vereinnahmt worden ist, als auch von der Verfügungsberechtigung des Empfängers (Reich, a.a.O., N 22 zu Art. 14). Die Berechtigung des Empfängers beurteilt sich nach den zwischen den Beteiligten bestehenden zivilrechtlichen Beziehungen, über welche die EStV im Falle eines Entscheides ihrerseits nach Art. 41 VStG vorfrageweise befindet (Pfund, a.a.O., N 4.5 zu Art. 14; vgl. zur entsprechenden Berechtigung auf Rückleistung nach Art. 21 VStG auch BGE 118 Ib 312 E. 2c; Urteil 2A.361/1991 vom 18.5.1993 in ASA Bd. 62, 1994, S. 705 E. 4). Stellt sich dagegen im Rahmen einer Auseinandersetzung über Bestand und Auslegung eines privatrechtlichen Vertrages die Frage, wer eine - der zwingenden Überwälzung unterliegende - abgabebelastete Leistung empfangen hat, so hat - unter Vorbehalt der Bindung an rechtskräftige Entscheide der Steuerbehörden - das zuständige Zivilgericht vorfrageweise auch allfällige steuerrechtliche Fragen zur zwingenden Überwälzung und zum Regress zu beurteilen. Aus BGE 108 Ib 475 E. 3c ergibt sich nichts anderes.</w:t>
      </w:r>
    </w:p>
    <w:p>
      <w:r>
        <w:rPr>
          <w:b/>
        </w:rPr>
        <w:t>E. 2.4</w:t>
      </w:r>
    </w:p>
    <w:p>
      <w:r>
        <w:t>Im vorliegenden Fall hat die Klägerin aufgrund eines Entscheides der EStV die Verrechnungssteuer (samt Zins) bezahlt, die ihr als Steuerpflichtige für eine Leistung auferlegt wurde, die sie dem Beklagten aufgrund eines privatrechtlichen Vertrags bezahlt haben will. Während die Verrechnungssteuer von der EStV der Klägerin gegenüber rechtskräftig verfügt worden ist, findet sich im angefochtenen Urteil keine Feststellung darüber, dass der Beklagte als angeblicher Empfänger der steuerbaren Leistung am Verfahren gemäss Art. 41 ff. VStG beteiligt worden wäre (zur Legitimation des Empfängers vgl. Reich, a.a.O., N 36 zu Art. 14). Ob der Beklagte (heute noch) die Möglichkeit hätte, einen Entscheid der Steuerverwaltung über die umstrittene Überwälzung auf ihn zu erwirken ist unerheblich, nachdem der Beklagte nichts dazu vorbringt. Es ist vielmehr davon auszugehen, dass die EStV - und erst recht die Rechtsmittelbehörden gemäss Art. 42 ff. VStG - zur Überwälzung der von der Klägerin bezahlten Steuer gegenüber dem Beklagten keinen (rechtskräftigen) Entscheid getroffen haben. Die Zivilgerichte sind unter diesen Umständen im Rahmen ihrer Zuständigkeit zur vorfrageweisen Beurteilung der zwingenden Überwälzung und der daraus sich ergebenden Regressforderung zuständig. Die Klägerin stützt ihren Anspruch auf eine mündliche Vereinbarung mit dem Beklagten, die sie als Auftrag qualifiziert und aus der sie die Forderung auf Ersatz ihrer Aufwendungen ableitet, zu denen sie die Verrechnungssteuer zählt. Zur Beurteilung von Forderungen aus der behaupteten privatrechtlichen Beziehung unter den Parteien sind die Zivilgerichte zuständig; es handelt sich um eine Zivilrechtsstreitigkeit. In deren Rahmen ist insbesondere die Frage zu beurteilen, ob die Klägerin einen vertraglichen Anspruch auf Ersatz der ihr auferlegten Steuer hat; dass bei der Beurteilung dieser Frage allenfalls (aufgrund entsprechender Einwände) die Vorfrage zu entscheiden ist, ob der Beklagte als Empfänger der steuerbaren Leistung im Sinne von Art. 14 VStG zu qualifizieren ist, macht die Streitigkeit unter den beteiligten Privaten ebenso wenig zu einer öffentlichrechtlichen Angelegenheit wie die Anwendung von Art. 14 VStG . Dass die Zivilgerichte zu prüfen haben, inwiefern sich zwingende Normen auf Gültigkeit und Bestand privatrechtlicher Abreden auswirken, ist im Übrigen keineswegs unüblich; Zivilrechtsstreitigkeiten werden jedenfalls auch dann nicht zu öffentlichrechtlichen Angelegenheiten, wenn Normen zu beachten sind, welche die Privatautonomie beschränken (vgl. Art. 19 f. OR). Dies wurde denn auch im Zusammenhang mit Art. 14 VStG bereits erkannt ( BGE 110 II 360 E. 3, 4; vgl. auch BGE 118 Ib 317 E. 3b-e).</w:t>
      </w:r>
    </w:p>
    <w:p>
      <w:r>
        <w:rPr>
          <w:b/>
        </w:rPr>
        <w:t>E. 3</w:t>
      </w:r>
    </w:p>
    <w:p>
      <w:r>
        <w:t>Die Vorinstanz hat die Anhandnahme der Klage zu Unrecht mit der Begründung verweigert, die vorliegende Streitigkeit sei nicht zivilrechtlich. Die Klägerin erhebt in ihren Rechtsbegehren und Vorbringen privatrechtliche Ansprüche aus einem Vertragsverhältnis und das streitige Vertragsverhältnis gehört dem Privatrecht an, woran die allenfalls zur Beurteilung stehenden öffentlichrechtlichen Vorfragen nichts ändern. Die Berufung ist gutzuheissen, der angefochtene Nichteintretensentscheid aufzuheben und die Sache an die Vorinstanz zurückzuweisen. Die Vorinstanz wird im Rahmen ihrer Zuständigkeit die einschlägigen öffentlichrechtlichen Normen wie Art. 14 VStG anwenden und vorfrageweise auch die öffentlichrechtlichen Fragen beurteilen, welche aufgrund der gehörig erhobenen Vorbringen des Beklagten zu entscheiden sind. Die Gerichtsgebühr ist bei diesem Verfahrensausgang dem Beklagten zu auferlegen ( Art. 156 Abs. 1 OG ). Er hat der anwaltlich vertretenen Klägerin überdies die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