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4C.144/2004 vom 7. Juli 2004</w:t>
      </w:r>
    </w:p>
    <w:p>
      <w:r>
        <w:t>Bundesgericht, 2004-07-07, DE</w:t>
      </w:r>
    </w:p>
    <w:p>
      <w:r>
        <w:rPr>
          <w:b/>
        </w:rPr>
        <w:t xml:space="preserve">Quelle: </w:t>
      </w:r>
      <w:r>
        <w:t>https://mcp.opencaselaw.ch/entscheid/bger_4C.144_2004</w:t>
      </w:r>
    </w:p>
    <w:p>
      <w:r>
        <w:t>FR: TF 4C.144/2004 du 7 juillet 2004</w:t>
      </w:r>
    </w:p>
    <w:p>
      <w:r>
        <w:t>IT: TF 4C.144/2004 del 7 luglio 2004</w:t>
      </w:r>
    </w:p>
    <w:p>
      <w:pPr>
        <w:pStyle w:val="Heading2"/>
      </w:pPr>
      <w:r>
        <w:t>Regeste</w:t>
      </w:r>
    </w:p>
    <w:p>
      <w:r>
        <w:t>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Mit Berufung kann geltend gemacht werden, der angefochtene Entscheid beruhe auf Verletzung des Bundesrechts mit Einschluss der durch den Bund abgeschlossenen völkerrechtlichen Verträge ( Art. 43 Abs. 1 OG ). Das UN-Kaufrecht entspricht einem solchen Vertrag, weshalb seine Anwendung vom Bundesgericht im Berufungsverfahren überprüft werden kann. Der vorliegende Kaufvertrag untersteht dem UN-Kaufrecht, weil die Parteien ihre Niederlassung in verschiedenen Vertragsstaaten haben ( Art. 1 Abs. 1 lit. a CISG ).</w:t>
      </w:r>
    </w:p>
    <w:p>
      <w:r>
        <w:rPr>
          <w:b/>
        </w:rPr>
        <w:t>E. 2.1</w:t>
      </w:r>
    </w:p>
    <w:p>
      <w:r>
        <w:t>Der Appellationshof hat die umstrittene Minderlieferung, welche die Verkäuferin der Käuferin nicht mitgeteilt hatte, zutreffend als Vertragswidrigkeit im Sinne von Art. 35 CISG qualifiziert (vgl. Hans-Christian Salger, in: Witz/Salger/Lorenz, International Einheitliches Kaufrecht: Praktiker-Kommentar und Vertragsgestaltung zum CISG, N. 6 zu Art. 35 CISG ; vgl. auch Ingeborg Schwenzer, in: Schlechtriem (Hrsg.), Kommentar zum Einheitlichen UN-Kaufrecht - CISG - 3. Aufl., N. 8 zu Art. 35 CISG ). Weiter ist der Appellationshof unter Berücksichtigung von Lehre und Rechtsprechung zum Ergebnis gekommen, die Beklagte habe die gelieferte Ware gemäss Art. 38 Abs. 1 CISG rechtzeitig untersucht und das Fehlen eines Teils der geschuldeten Waren nach Art. 39 Abs. 2 CISG rechtzeitig angezeigt (vgl. zum Inhalt der Anzeige BGE 130 III 258 E. 4.3 S. 262). Ob die Untersuchungs- und Anzeigefristen eingehalten wurden, beurteilt das Gericht nach seinem Ermessen. Eine Ermessensüberschreitung des Appellationshofs ist nicht ersichtlich und wird von der Klägerin vor Bundesgericht auch nicht geltend gemacht.</w:t>
      </w:r>
    </w:p>
    <w:p>
      <w:r>
        <w:rPr>
          <w:b/>
        </w:rPr>
        <w:t>E. 3.1</w:t>
      </w:r>
    </w:p>
    <w:p>
      <w:r>
        <w:t>Der Appellationshof ging davon aus, grundsätzlich habe der Verkäufer, der die Bezahlung des Kaufpreises verlange, die Vertragskonformität der Lieferung zu beweisen. Die entsprechende Beweislast gehe jedoch auf den Käufer über, wenn er die Ware rügelos angenommen habe. Unter der rügelosen Annahme sei dabei nicht die tatsächliche Übernahme sondern der unbenutzte Ablauf der Frist zur Anzeige von Mängeln gemäss Art. 38 und 39 CISG zu verstehen. Würden innert dieser Frist Vertragswidrigkeiten angezeigt, so habe der Verkäufer zu beweisen, dass die Ware im Zeitpunkt des Gefahrenübergangs vertragskonform gewesen sei. Im vorliegenden Fall habe die Beklagte rechtzeitig gerügt, dass ein Teil der bestellten Ware nicht geliefert worden sei, weshalb die Klägerin nachweisen müsse, dass die Lieferung vollständig gewesen sei.</w:t>
      </w:r>
    </w:p>
    <w:p>
      <w:r>
        <w:rPr>
          <w:b/>
        </w:rPr>
        <w:t>E. 3.2</w:t>
      </w:r>
    </w:p>
    <w:p>
      <w:r>
        <w:t>Die Klägerin macht geltend, der Appellationshof habe ihr zu Unrecht die Beweislast bezüglich der Vollständigkeit der Lieferung auferlegt. Da diese von der Beklagten rügelos abgenommen worden sei, habe diese die Unvollständigkeit der Lieferung zu beweisen.</w:t>
      </w:r>
    </w:p>
    <w:p>
      <w:r>
        <w:rPr>
          <w:b/>
        </w:rPr>
        <w:t>E. 3.3</w:t>
      </w:r>
    </w:p>
    <w:p>
      <w:r>
        <w:t>Die Verteilung der Beweislast gehört zu den im UN-Kaufrecht geregelten Gegenständen. Fehlt eine ausdrückliche Beweislastregel, so kommen die allgemeinen Grundsätze zur Anwendung, welche dem UN-Kaufrecht zu Grunde liegen. Nach diesen Grundsätzen ist insbesondere die Beweisnähe zu beachten, weshalb der Käufer, der die Ware rüge- bzw. vorbehaltlos übernommen und daran die Sachherrschaft erlangt hat, deren Vertragswidrigkeit zu beweisen hat, soweit er daraus Rechte ableitet ( BGE 130 III 258 E. 5.3 S. 264 ff.).</w:t>
      </w:r>
    </w:p>
    <w:p>
      <w:r>
        <w:rPr>
          <w:b/>
        </w:rPr>
        <w:t>E. 3.4</w:t>
      </w:r>
    </w:p>
    <w:p>
      <w:r>
        <w:t>Die Beklagte hat die umstrittene Warenlieferung der Klägerin vorbehaltlos entgegengenommen. Damit hat die Beklagte nach den genannten Grundsätzen die Vertragswidrigkeit bzw. die Unvollständigkeit der Lieferung zu beweisen, soweit sie darauf das Recht auf Minderung der Kaufpreisforderung ableitet. Inwiefern sich im vorliegenden Fall eine Ausnahme von der Anwendung der allgemeinen Beweislastregel aufdrängen soll, ist nicht ersichtlich. Wird mit dem Appellationshof davon ausgegangen, dass unmittelbar bei der Übergabe der Ware eine Mengenkontrolle unter Berücksichtigung des grossen Warenvolumens und der betrieblichen Notwendigkeit eines raschen Abladens vernünftigerweise nicht erwartet werden konnte, so befand sich die Ware im Zeitpunkt, als eine Mengenkontrolle zumutbar war, bereits im ausschliesslichen Herrschaftsbereich der Beklagten. Allein diese konnte danach die notwendigen Vorkehrungen treffen, um eine Mengenkontrolle vorzunehmen, wogegen die Klägerin keine Möglichkeit mehr zur Beweissicherung hatte.</w:t>
      </w:r>
    </w:p>
    <w:p>
      <w:r>
        <w:rPr>
          <w:b/>
        </w:rPr>
        <w:t>E. 4.1</w:t>
      </w:r>
    </w:p>
    <w:p>
      <w:r>
        <w:t>Gemäss der vorstehenden Erwägung ist die Beweislast bezüglich der Vertragskonformität der gelieferten Ware mit der vorbehaltlosen Annahme der Ware durch die Beklagte auf diese übergegangen. Demnach muss die Beklagte die Vertragswidrigkeit und nicht die Klägerin die Vertragskonformität der Lieferung beweisen. Auf die Rüge der Klägerin, der Appellationshof habe das Beweismass bundesrechtswidrig hoch angesetzt, indem er die Quittung nicht als Beweis der Vollständigkeit der Lieferung anerkannt habe, ist daher mangels eines hinreichenden Rechtsschutzinteresses nicht einzutreten (vgl. BGE 120 II 5 E. 20 S. 7).</w:t>
      </w:r>
    </w:p>
    <w:p>
      <w:r>
        <w:rPr>
          <w:b/>
        </w:rPr>
        <w:t>E. 4.2</w:t>
      </w:r>
    </w:p>
    <w:p>
      <w:r>
        <w:t>Die Klägerin macht sinngemäss geltend, die Beklagte habe die Unvollständigkeit der Lieferung nicht beweisen können, weshalb die Klage gutzuheissen sei. Die Klägerin übersieht dabei, dass der Appellationshof sich zu dieser Beweisfrage nicht äusserte, weil er annahm die Beklagte sei bezüglich der gerügten Mengenabweichung nicht beweispflichtig. Auch das erstinstanzliche Gericht - auf dessen Feststellungen der Appellationshof verweist - hat sich zum Nachweis einer Mengenabweichung nicht geäussert, weil es einen daraus abgeleiteten Anspruch der Beklagten bereits auf Grund einer verspäteten Untersuchung der Ware verneinte. Damit fehlen tatsächliche Feststellungen zur Frage, ob die Beklagte eine Mengenabweichung hat nachweisen können. Das angefochtene Urteil ist daher aufzuheben und zur Ergänzung des Tatbestandes und zur neuen Entscheidung an den Appellationshof zurückzuweisen ( Art. 64 Abs. 1 OG ).</w:t>
      </w:r>
    </w:p>
    <w:p>
      <w:r>
        <w:rPr>
          <w:b/>
        </w:rPr>
        <w:t>E. 4.3</w:t>
      </w:r>
    </w:p>
    <w:p>
      <w:r>
        <w:t>Kommt dieser zum Ergebnis, die Beklagte könne die behauptete Mengenabweichung der umstrittenen Lieferung nicht beweisen, so schuldet sie die eingeklagte Kaufpreisforderung für eine spätere Lieferung der Klägerin und die Klage ist gutzuheissen. Sollte der Appellationshof zum Ergebnis kommen, eine Mengenabweichung sei bewiesen, so hätte die Beklagte einen entsprechenden Anspruch auf Minderung der ursprünglichen Kaufpreisforderung gehabt. Damit könnte die Klage jedoch noch nicht abgewiesen werden, wie dies der Appellationshof annimmt. Vielmehr ist zu beachten, dass die Beklagte den Kaufpreis trotz der geltend gemachten Minderlieferung zunächst vollumfänglich bezahlt hatte und erst später gegenüber neuen Kaufpreisforderungen der Klägerin verrechnungsweise im Umfang des geltend gemachten ursprünglichen Minderungsanspruchs eine Forderung aus ungerechtfertigter Bereicherung in Abzug brachte. Die Klage könnte daher nur insoweit abgewiesen werden, als der Beklagten aus Zahlung einer Nichtschuld gegenüber der Klägerin ein Bereicherungsanspruch zusteht. Solche Ansprüche werden vom UN-Kaufrecht nicht geregelt (vgl. Huber, in: Schlechtriem (Hrsg.), Kommentar zum Einheitlichen UN-Kaufrecht, 3. Aufl. N. 11 zu Art. 52 CISG ). Demnach müsste zunächst nach dem internationalen Privatrecht bestimmt werden, welchem nationalen Recht der Bereicherungsanspruch untersteht (vgl. Art. 128 Abs. 1 IPRG ). Alsdann müsste die Beklagte die nach diesem Recht geltenden Anspruchsvoraussetzungen nachweisen. Erst danach könnte die Bereicherungsforderung mit der eingeklagten Forderung zur Verrechnung gebracht werden. Dabei ist zu beachten, dass die Verrechnungsmöglichkeit ebenfalls nach einem nationalen Recht zu beurteilen ist, da sie im UN-Kaufrecht nicht geregelt ist (Ferrari, a.a.O., N. 39 zu Art. 4 CISG ; Manuel Lorenz, in: Witz/Salger/Lorenz, International Einheitliches Kaufrecht: Praktiker-Kommentar und Vertragsgestaltung zum CISG, N. 29 zu Art. 4 CISG , mit weiteren Hinweisen).</w:t>
      </w:r>
    </w:p>
    <w:p>
      <w:r>
        <w:rPr>
          <w:b/>
        </w:rPr>
        <w:t>E. 5</w:t>
      </w:r>
    </w:p>
    <w:p>
      <w:r>
        <w:t>Nach dem Gesagten ist die Berufung insoweit gutzuheissen, als das angefochtene Urteil aufzuheben ist. Über den Berufungsantrag auf Gutheissung der Klage kann jedoch im vorliegenden Verfahrensstadium nicht entschieden werden. Der blosse Teilerfolg der Klägerin rechtfertigt es, die Gerichtskosten den Parteien je zur Hälfte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