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4C.142/2001 vom 30. Januar 2002</w:t>
      </w:r>
    </w:p>
    <w:p>
      <w:r>
        <w:t>Bundesgericht, 2002-01-30, DE</w:t>
      </w:r>
    </w:p>
    <w:p>
      <w:r>
        <w:rPr>
          <w:b/>
        </w:rPr>
        <w:t xml:space="preserve">Quelle: </w:t>
      </w:r>
      <w:r>
        <w:t>https://mcp.opencaselaw.ch/entscheid/bger_4C.142_2001</w:t>
      </w:r>
    </w:p>
    <w:p>
      <w:r>
        <w:t>FR: TF 4C.142/2001 du 30 janvier 2002</w:t>
      </w:r>
    </w:p>
    <w:p>
      <w:r>
        <w:t>IT: TF 4C.142/2001 del 30 gennaio 2002</w:t>
      </w:r>
    </w:p>
    <w:p>
      <w:pPr>
        <w:pStyle w:val="Heading2"/>
      </w:pPr>
      <w:r>
        <w:t>Erwägungen</w:t>
      </w:r>
    </w:p>
    <w:p>
      <w:r>
        <w:rPr>
          <w:b/>
        </w:rPr>
        <w:t>E. 2</w:t>
      </w:r>
    </w:p>
    <w:p>
      <w:r>
        <w:t>Aufl. , N 7 zu Art. 1 MSchG ). Die Markeninhaber können den Weiterverkäufern oder Dienstleistern ihrer Markenprodukte daher weder vorschreiben, wie sie mit diesen umzugehen haben noch welche Werbemassnahmen sie treffen dürfen (Urteil 4C.354/1999 vom 12. Januar 2000 ["Chanel IV"], a.a.O., E. 2b; Marbach, a.a.O., S. 202; David, a.a.O., N 16 zu Art. 13 MSchG ). Allerdings bleibt den Markenberechtigten die allgemeine Bewerbung der Marke, die ohne Bezug auf ein bestimmtes Warensortiment oder konkrete Dienstleistungen dem Ansehen und dem Ruf der Marke beim Publikum im Allgemeinen gilt, vorbehalten ( BGE 126 III 322 E. 3a; Urteil 4C.354/1999 vom 12. Januar 2000 ["Chanel IV"], a.a.O., E. 2b; David, a.a.O., N 7 zu Art. 1, N 23 zu Art. 13). Auch findet die Werbung mit einer Drittmarke ihre Grenze dort, wo beim Publikum der unzutreffende Eindruck einer besonderen Beziehung des mit der Marke werbenden Anbieters zum Markeninhaber erweckt wird. Eine derartige Täuschung der Adressaten ist unbesehen darum rechtswidrig, ob darin eine Berühmung an (der Nutzungsberechtigung) der Marke und damit ein Verstoss gegen den Markenschutz zu sehen wäre oder auch unter dem geltenden MSchG ein unlauteres Verhalten und damit ein Verstoss gegen das UWG vorliegt (vgl. BGE 104 II 58 E. 4 S.</w:t>
      </w:r>
    </w:p>
    <w:p>
      <w:r>
        <w:t>60 f.; Urteil 4C.354/1999 vom 12. Januar 2000 ["Chanel IV"], a.a.O., E. 2c; David, a.a.O., Vorbem. zum 1. Titel N 3).</w:t>
      </w:r>
    </w:p>
    <w:p>
      <w:r>
        <w:t>cc) Die Vorinstanz hat diese Grundsätze bundesrechtskonform angewendet, indem sie davon ausging, dass der Gebrauch einer Drittmarke in der Werbung jedenfalls rechtmässig ist, solange er klar auf die eigenen Leistungen bezogen bleibt und das Publikum nicht über die Verhältnisse des Werbenden zum Markeninhaber getäuscht wird. Diese Abwägung der Interessen der Markenrechtsinhaber einerseits und nicht am Kennzeichen berechtigter Wettbewerber mit Originalmarkenprodukten anderseits entspricht im Ergebnis derjenigen des EuGH in Auslegung des einschlägigen Rechts der EU (vgl. dessen Urteil vom 23. Februar 1999 i.S. BMW c. Deenik, Rs.</w:t>
      </w:r>
    </w:p>
    <w:p>
      <w:r>
        <w:t>C-63/97, auszugsweise publ. in: sic! 2/1999 S. 183).</w:t>
      </w:r>
    </w:p>
    <w:p>
      <w:r>
        <w:t>c) Ob die Adressaten bestimmte Anpreisungen auf die konkrete Geschäftstätigkeit für mit Drittmarken gekennzeichnete Originalprodukte beziehen oder ob sie diese der Marke als solcher bzw. dem Markeninhaber zurechnen, beurteilt sich nach dem Gesamteindruck, den sie beim Publikum erwecken (Urteil 4C.354/1999 vom 12. Januar 2000 ["Chanel IV"], a.a.O., E. 2d). Die Vorinstanz hat in dieser Hinsicht zutreffend geprüft, wie das Publikum die Werbung der Beklagten versteht.</w:t>
      </w:r>
    </w:p>
    <w:p>
      <w:r>
        <w:t>aa) Die umstrittene Leuchtreklame ist nach den Feststellungen der Vorinstanz augenfällig auf dem Dach des Garagenbetriebs der Beklagten montiert und hat die Form eines hochgestellten Rechtecks. Auf dem hellen Hintergrund der Reklamefläche sind drei gleich grosse, farbige, abgerundete Rechtecke parallel übereinander angeordnet. Das obere Rechteck ist dunkelblau gehalten und trägt in gleicher Farbe weissumrandet das Zeichen "VW", das mittlere Rechteck ist rot und enthält in gleichfarbiger, weissumrandeter Schrift das Zeichen "Audi" und das untere Rechteck ist hellblau und trägt den gelben Schriftzug "Spezialist". Die Klägerinnen beanstanden insofern die Sachverhaltsfeststellungen der Vorinstanz nicht.</w:t>
      </w:r>
    </w:p>
    <w:p>
      <w:r>
        <w:t>bb)Die Beklagte bietet ihre Dienste besonders für Fahrzeuge der klägerischen Marken an, weshalb ihr erlaubt sein muss, zu diesem Zweck die klägerischen Zeichen zu gebrauchen.</w:t>
      </w:r>
    </w:p>
    <w:p>
      <w:r>
        <w:t>Die Vorinstanz hat festgestellt, dass das Anbringen einer Leuchtreklame auf dem Garagendach dem branchenüblichen Werbeverhalten entspricht und von den Adressaten als Hinweis auf den Garagenbetrieb und dessen Leistungen - nicht darüber hinaus als Bewerbung der Marken - verstanden wird, zumal die Beklagte das Logo der klägerischen Zeichen nicht gebraucht. Das verwendete Schriftbild kann nach den Feststellungen der Vorinstanz als nüchtern bezeichnet werden und grenzt sich sowohl von der prägnanten "Audi"-Schreibweise wie von den übereinander stehenden Buchstaben "V" und "W" ab. Ob diese Abgrenzung zur Klarstellung des Gegenstands der Werbung erforderlich ist oder der Bezug ausschliesslich auf die Tätigkeit der Beklagten auch auf andere Weise klar herausgehoben werden könnte, sei dahingestellt. Die klägerischen Marken werden jedenfalls in der Weise gebraucht, dass die Adressaten diese Werbung als Anpreisung des eigenen Angebots der Beklagten verstehen. Der Eindruck einer nicht (mehr) vorhandenen Vertragsbeziehung zwischen dieser und den Markeninhaberinnen wird nicht erweckt. Insbesondere weist der Ausdruck "Spezialist" nicht auf eine besondere Vertragsbeziehung zu den Klägerinnen als Markenberechtigte hin. Die Klägerinnen bringen denn auch für ein derartiges Verständnis des Publikums nichts vor.</w:t>
      </w:r>
    </w:p>
    <w:p>
      <w:r>
        <w:t>cc)Aufgrund der Feststellungen der Vorinstanz kann nicht angenommen werden, die Beklagte habe den Eindruck erweckt, sie würde statt für ihre eigene Geschäftstätigkeit für die Marken der Klägerinnen werben oder täusche das Publikum über ein nicht vorhandenes Verhältnis zu den Klägerinnen als Markeninhaberinnen. Die Vorinstanz hat eine Täuschung der Adressaten über den Gegenstand der Werbung bundesrechtskonform verneint. Inwiefern im Übrigen für die vorliegend umstrittenen Fragen das Firmenrecht den Klägerinnen gegenüber der Beklagten mehr Rechte verschaffen sollte als Markenrecht und UWG, ist nicht ersichtlich und lässt sich der Berufung der Klägerinnen nicht entnehmen.</w:t>
      </w:r>
    </w:p>
    <w:p>
      <w:r>
        <w:t>3.-Die Berufung ist abzuweisen, soweit darauf einzutreten ist, und das angefochtene Urteil des Handelsgerichts des Kantons Zürich vom 29. März 2001 ist zu bestätigen. Diesem Verfahrensausgang entsprechend ist die Gerichtsgebühr den Klägerinnen unter solidarischer Haftbarkeit aufzuerlegen ( Art. 156 Abs. 1 und 7 OG ). Sie haben der Beklagten überdies eine Parteientschädigung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