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4C.135/2005 vom 20. Juni 2005</w:t>
      </w:r>
    </w:p>
    <w:p>
      <w:r>
        <w:t>Bundesgericht, 2005-06-20, FR</w:t>
      </w:r>
    </w:p>
    <w:p>
      <w:r>
        <w:rPr>
          <w:b/>
        </w:rPr>
        <w:t xml:space="preserve">Quelle: </w:t>
      </w:r>
      <w:r>
        <w:t>https://mcp.opencaselaw.ch/entscheid/bger_4C.135_2005</w:t>
      </w:r>
    </w:p>
    <w:p>
      <w:r>
        <w:t>FR: TF 4C.135/2005 du 20 juin 2005</w:t>
      </w:r>
    </w:p>
    <w:p>
      <w:r>
        <w:t>IT: TF 4C.135/2005 del 20 giugno 2005</w:t>
      </w:r>
    </w:p>
    <w:p>
      <w:pPr>
        <w:pStyle w:val="Heading2"/>
      </w:pPr>
      <w:r>
        <w:t>Regeste</w:t>
      </w:r>
    </w:p>
    <w:p>
      <w:r>
        <w:t>responsabilité de l'administrateur | Droit des sociétés</w:t>
      </w:r>
    </w:p>
    <w:p>
      <w:pPr>
        <w:pStyle w:val="Heading2"/>
      </w:pPr>
      <w:r>
        <w:t>Erwägungen</w:t>
      </w:r>
    </w:p>
    <w:p>
      <w:r>
        <w:rPr>
          <w:b/>
        </w:rPr>
        <w:t>E. 1</w:t>
      </w:r>
    </w:p>
    <w:p>
      <w:r>
        <w:t>D'après l'art. 55 al. 1 let. b in initio OJ, l'acte de recours doit notamment contenir l'indication exacte des points attaqués de la décision et des modifications demandées. Il ne peut être présenté de conclusions nouvelles. Il résulte des constatations du Tribunal de commerce que la demanderesse a conclu en instance cantonale au paiement de la somme de 1'217'852 fr., alors qu'elle réclame devant le Tribunal fédéral un montant de 1'249'610 fr.95 en capital. L'augmentation des conclusions serait donc irrecevable. Mais, comme la cour cantonale n'a posé aucune constatation quant à la quotité du dommage prétendu, si le présent recours devait être admis, alors seul le renvoi de la cause à l'autorité cantonale entrerait en ligne de compte ( ATF 125 III 412 consid. 1b p. 414 et les références).</w:t>
      </w:r>
    </w:p>
    <w:p>
      <w:r>
        <w:rPr>
          <w:b/>
        </w:rPr>
        <w:t>E. 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 Le recours n'est pas ouvert pour se plaindre de l'appréciation des preuves et des constatations de fait qui en découlent ( ATF 130 III 102 consid. 2.2 in fine, 136 consid. 1.4; 129 III 618 consid. 3). Sans se prévaloir d'aucune des exceptions prévues par les art. 63 al. 2 et 64 OJ , la recourante présente une version des faits qui lui est propre. Elle y est irrecevable. Les moyens du recours seront donc examinés compte tenu de l'état de fait constaté dans le jugement cantonal.</w:t>
      </w:r>
    </w:p>
    <w:p>
      <w:r>
        <w:rPr>
          <w:b/>
        </w:rPr>
        <w:t>E. 3</w:t>
      </w:r>
    </w:p>
    <w:p>
      <w:r>
        <w:t>Dans la décision critiquée, le Tribunal de commerce a exposé à bon droit que la responsabilité de l'administrateur au sens de l' art. 754 CO présuppose qu'une violation fautive de l'une des obligations attachées à cette qualité soit la cause adéquate d'un dommage. Il incombe au demandeur en responsabilité d'établir le manquement de l'organe, l'existence du dommage et le rapport de causalité ( ATF 128 III 180 consid. 2d en relation avec l'art. 753 aCO; ATF 4C.111/2004 du 9 novembre 2004, consid. 3; Peter Widmer, Commentaire bâlois, n. 25 ad art. 754 CO ).</w:t>
      </w:r>
    </w:p>
    <w:p>
      <w:r>
        <w:rPr>
          <w:b/>
        </w:rPr>
        <w:t>E. 3.1</w:t>
      </w:r>
    </w:p>
    <w:p>
      <w:r>
        <w:t>Il convient d'emblée de relever que dans la mesure où les violations alléguées des devoirs spécifiques de l'administrateur ne sont pas mises en relation avec des prétentions en dommages-intérêts, de telles violations, comme l'a bien vu la cour cantonale, sont dénuées de portée juridique. Si le Tribunal de commerce a toutefois examiné certaines d'entre elles, ce n'est qu'à titre superfétatoire. Dans ces conditions, tant la réflexion générale - "Gesamtbetrachtung" selon la terminologie utilisée dans le recours - que préconise la recourante à ce propos que les explications qu'elle donne sur des violations de cette nature sont dirigées contre des considérations superflues du jugement déféré, de sorte que l'intérêt à recourir de la demanderesse disparaît complètement. Le recours est irrecevable sur ces points ( ATF 120 II 5 consid. 2a).</w:t>
      </w:r>
    </w:p>
    <w:p>
      <w:r>
        <w:rPr>
          <w:b/>
        </w:rPr>
        <w:t>E. 3.2</w:t>
      </w:r>
    </w:p>
    <w:p>
      <w:r>
        <w:t>La recourante critique en particulier la constatation des magistrats bernois, qui la déclare inapte à déduire une prétention pécuniaire du grief porté contre le défendeur d'avoir accepté des commandes aux anciens prix. En pure perte. Il suffit de relever qu'elle n'a même pas indiqué le gain qu'elle aurait manqué du fait des actes reprochés au défendeur, et encore moins expliqué la manière de le calculer, tout cela au mépris des exigences de motivation de l' art. 55 al. 1 let . c OJ.</w:t>
      </w:r>
    </w:p>
    <w:p>
      <w:r>
        <w:rPr>
          <w:b/>
        </w:rPr>
        <w:t>E. 4</w:t>
      </w:r>
    </w:p>
    <w:p>
      <w:r>
        <w:t>La cour cantonale a nié que le défendeur ait manqué à ses obligations d'administrateur faute d'avoir calculé les prix de revient de 518 montres-bracelets Z.________. Elle a tout d'abord jugé qu'il était paradoxal de reprocher à l'intimé d'avoir tu à la direction que ces produits auraient pu être vendus à un prix plus élevé, tout en critiquant simultanément la mauvaise qualité des stocks utilisés dans la fabrication de ces montres. Cela dit, elle est parvenue à la conclusion que la politique des prix du défendeur - que la demanderesse a vertement stigmatisée - reposait sur la connaissance des prix de revient et représentait une stratégie économique qui pouvait se défendre, si bien qu'aucune violation d'un devoir légal ou statutaire de l'administrateur n'était réalisée.</w:t>
      </w:r>
    </w:p>
    <w:p>
      <w:r>
        <w:rPr>
          <w:b/>
        </w:rPr>
        <w:t>E. 4.1</w:t>
      </w:r>
    </w:p>
    <w:p>
      <w:r>
        <w:t>La demanderesse allègue que le défendeur n'a suivi aucune stratégie claire et a vendu ses produits trop bon marché par ignorance des circonstances. Mais elle se contredit d'entrée de jeu en reconnaissant que le Tribunal de commerce a retenu souverainement que le défendeur a adopté une stratégie délibérée. Elle se heurte de plein fouet aux constatations du jugement critiqué lorsqu'elle fait valoir sans ambages que l'intimé a accepté sciemment une diminution des profits. En effet, le Tribunal de commerce a au contraire retenu que le défendeur a suivi une politique caractérisée par des "prix de vente ... plutôt doux", afin de positionner la recourante sur le marché des montres-bracelets puis, dans un second temps, d'augmenter progressivement ses prix au fur et à mesure de l'introduction de nouveaux modèles. L'autorité cantonale a expliqué, références de doctrine à l'appui, que le conseil d'administration doit bénéficier d'un large pouvoir d'appréciation en matière de fixation de la politique commerciale, considérations que la recourante n'a même pas taxées explicitement de contraires au droit fédéral. Lorsque la demanderesse prétend que le défendeur a vendu à perte pendant des années, elle tisse derechef une version des faits de son cru. En effet, il a été constaté que la politique des prix incriminée a été couronnée de succès, du moment que la recourante a bouclé positivement les trois exercices ayant précédé son rachat par W.________ SA, qu'elle s'est attaché une clientèle fidèle et qu'elle a reçu de la presse spécialisée des commentaires laudatifs.</w:t>
      </w:r>
    </w:p>
    <w:p>
      <w:r>
        <w:rPr>
          <w:b/>
        </w:rPr>
        <w:t>E. 4.2</w:t>
      </w:r>
    </w:p>
    <w:p>
      <w:r>
        <w:t>A partir de ces données, on ne voit pas que la cour cantonale a enfreint le droit fédéral en se refusant à admettre que le défendeur ait transgressé les obligations liées à sa charge d'administrateur. La recourante présente un mélange confus de critiques de fait et de droit quand elle soutient que les agissements du défendeur ne lui ont pas permis de percevoir les gains espérés. Ses allégations désordonnées, selon lesquelles l'intimé a failli à son devoir d'établir régulièrement les comptes annuels ( art. 662a CO ) et de fixer les principes de la comptabilité et du contrôle financier ( art. 716a ch. 3 CO ), non sans violer au passage différents autres devoirs de diligence et de fidélité ( art. 717 CO ), ne trouvent aucune assise dans le dossier. Les juges cantonaux ont retenu qu'avant la reprise des actions de la demanderesse par W.________ SA, tous les actionnaires avaient accepté la politique de prix décriée et qu'après la vente de son capital-actions, la recourante, sous l'impulsion du nouveau président de son conseil d'administration C.________, a changé de stratégie commerciale et obtenu très rapidement du défendeur des explications sur le calcul des prix de vente, à telle enseigne que l'intimé n'avait eu ni la possibilité ni la volonté de faire de la rétention d'informations sur ce point. Ces arguments de bon sens peuvent être adoptés. De toute manière, comme l'a encore admis par surabondance le Tribunal de commerce, le dommage fondé sur la vente à prix trop bas des 518 montres-bracelets Z.________ n'est pas en relation de causalité adéquate avec une quelconque retenue de renseignements quant au prix de ces montres, mais repose sur l'acceptation des commandes y relatives, qui est survenue avant que le capital-actions de la recourante soit vendu à W.________ SA. Les griefs pris de la violation des normes susmentionnées sont dénués de tout fondement.</w:t>
      </w:r>
    </w:p>
    <w:p>
      <w:r>
        <w:rPr>
          <w:b/>
        </w:rPr>
        <w:t>E. 5</w:t>
      </w:r>
    </w:p>
    <w:p>
      <w:r>
        <w:t>La cour cantonale a nié que l'intimé n'ait pas informé la nouvelle direction de la recourante au sujet du contrat de représentation exclusive la liant à V.________ aux Etats-Unis. Sur la base d'une appréciation des preuves, elle est parvenue à la conclusion que C.________, parfaitement conscient de l'existence et de la nature de cet accord, avait pris la décision de suspendre provisoirement la livraison des montres à V.________. Concernant la violation du secret d'affaires qui serait intervenue au cours du procès ouvert dans l'Etat du Colorado, elle a considéré que s'exprimer en qualité de témoin - comme l'a fait l'intimé en produisant un affidavit - sur les anciennes relations commerciales entre les parties qui mènent un procès à ce sujet ne constitue par une telle violation, "car il ne s'agit plus d'interna". Le devoir de fidélité, a exposé le Tribunal de commerce, ne saurait d'ailleurs aller jusqu'à contraindre un ancien administrateur à produire un faux témoignage susceptible de lui valoir une sanction pénale, étant précisé que la demanderesse ne prétend pas que le contenu de l'affidavit ne reflétait pas la réalité, mais seulement que le défendeur l'a produit à un moment inopportun. Enfin, les éventuelles erreurs de procédure liées au dépôt de ce témoignage écrit sont dénuées de pertinence et, au surplus, sans relation de causalité adéquate avec le préjudice allégué. La demanderesse s'en prend exclusivement à l'appréciation des preuves lorsqu'elle prétend que l'autorité cantonale, à teneur de la déposition du témoin G.________ et de la correspondance du conseil du défendeur, n'aurait pas dû admettre que C.________ connaissait l'existence et le contenu du contrat de représentation exclusive. S'agissant de la violation du devoir de fidélité déduit de la production de l'affidavit, la recourante déclare uniquement que le procès mené aux Etats-Unis aurait vraisemblablement pu être évité si le défendeur lui avait communiqué plus tôt les déclarations qu'il y a faites et que ce dernier a de toute façon agi mal à propos. De tels développements sont totalement impropres à démontrer que la cour cantonale a violé le droit fédéral en exonérant l'intimé de toute responsabilité. A considérer encore la véracité du contenu de l'affidavit, on cherche en vain où résiderait dans ce contexte une entorse au devoir de l'administrateur.</w:t>
      </w:r>
    </w:p>
    <w:p>
      <w:r>
        <w:rPr>
          <w:b/>
        </w:rPr>
        <w:t>E. 6</w:t>
      </w:r>
    </w:p>
    <w:p>
      <w:r>
        <w:t>Au vu de ce qui précède, le recours doit être rejeté dans la faible mesure de sa recevabilité. Compte tenu de l'issue de la cause, la recourante supportera l'émolument de justice et versera à l'intimé une indemnité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