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4C.131/2000 vom 24. April 2001</w:t>
      </w:r>
    </w:p>
    <w:p>
      <w:r>
        <w:t>Bundesgericht, 2001-04-24, DE</w:t>
      </w:r>
    </w:p>
    <w:p>
      <w:r>
        <w:rPr>
          <w:b/>
        </w:rPr>
        <w:t xml:space="preserve">Quelle: </w:t>
      </w:r>
      <w:r>
        <w:t>https://mcp.opencaselaw.ch/entscheid/bger_4C.131_2000</w:t>
      </w:r>
    </w:p>
    <w:p>
      <w:r>
        <w:t>FR: TF 4C.131/2000 du 24 avril 2001</w:t>
      </w:r>
    </w:p>
    <w:p>
      <w:r>
        <w:t>IT: TF 4C.131/2000 del 24 aprile 2001</w:t>
      </w:r>
    </w:p>
    <w:p>
      <w:pPr>
        <w:pStyle w:val="Heading2"/>
      </w:pPr>
      <w:r>
        <w:t>Erwägungen</w:t>
      </w:r>
    </w:p>
    <w:p>
      <w:r>
        <w:rPr>
          <w:b/>
        </w:rPr>
        <w:t>E. 3</w:t>
      </w:r>
    </w:p>
    <w:p>
      <w:r>
        <w:t>a) Die Beklagte ist der Auffassung, das Kantonsgericht habe die Bestimmung über den Naturallohn ( Art. 322 Abs. 1 OR ) falsch ausgelegt.</w:t>
      </w:r>
    </w:p>
    <w:p>
      <w:r>
        <w:t>b) Naturallohn ist Lohn, der nicht Geldlohn darstellt (Staehelin, Zürcher Kommentar, N 2 zu Art. 322 OR ).</w:t>
      </w:r>
    </w:p>
    <w:p>
      <w:r>
        <w:t>Die Vereinbarung von Naturallohn setzt nicht zwingend die Aufnahme in die Hausgemeinschaft voraus (vgl. Rehbinder, Berner Kommentar, N 29 zu Art. 322 OR ). Art. 322 Abs. 2 OR regelt die Frage, ob die Naturalleistungen dem Arbeitnehmer belastet werden dürfen oder nicht. Gemäss dieser Bestimmung schafft die Aufnahme des Arbeitnehmers in die Hausgemeinschaft des Arbeitgebers lediglich die widerlegbare Vermutung, der Unterhalt in Naturalleistungen bilde Lohnbestandteil und dürfe folglich vorbehaltlich einer anderen Vereinbarung dem Arbeitnehmer nicht belastet werden (Staehelin, a.a.O., N 40 zu Art. 322 OR ). Der Naturallohn ist somit vermutungsweise zusätzlich zum Geldlohn geschuldet. Die Beklagte macht jedoch geltend, Naturalleistungen in Form von Kost und Logis durch den einen Gesellschafter der Beklagten seien auf den vereinbarten Geldlohn anzurechnen. Hierfür findet sich im Gesetz keinerlei Vermutung. Eine Vereinbarung, nach der sich die Klägerin Naturalleistungen des einen Gesellschafters auf den in Geld vereinbarten Lohn anzurechnen habe, hätte die Beklagte zu beweisen. Nach den für das Bundesgericht verbindlichen Feststellungen ist aber eine entsprechende Vereinbarung nicht nachgewiesen. Der angefochtene Entscheid ist insofern nicht zu beanstanden.</w:t>
      </w:r>
    </w:p>
    <w:p>
      <w:r>
        <w:rPr>
          <w:b/>
        </w:rPr>
        <w:t>E. 4</w:t>
      </w:r>
    </w:p>
    <w:p>
      <w:r>
        <w:t>a) Die Beklagte wirft dem Kantonsgericht sodann vor, es habe Art. 8 ZGB verletzt, indem es ihr im Zusammenhang mit den Barbezügen der Klägerin von Fr. 29'900.- zu Unrecht die Beweislast für den Gegenbeweis auferlegt sowie über rechtserhebliche Tatsachen nicht Beweis erhoben habe.</w:t>
      </w:r>
    </w:p>
    <w:p>
      <w:r>
        <w:t>b) Wer eine Forderung aus Vertrag geltend macht, hat alle Sachumstände nachzuweisen, welche das Zustandekommen des Vertrags und den Inhalt der Schuld betreffen ( BGE 125 III 78 E. 3b; Kummer, Berner Kommentar, N 248 ff. zu Art. 8 ZGB ). Demgegenüber obliegt der Beweis der quantitativ und qualitativ richtigen Erfüllung dem Schuldner ( BGE 125 III 78 E. 3b; 111 II 263 E. 1b; Weber, Berner Kommentar, N 315 zu Art. 97 OR ; Kummer, a.a.O., N 161 zu Art. 8 ZGB ). Nur wenn erwiesen ist, dass der Gläubiger eine als Erfüllung angebotene Leistung vorbehaltlos entgegengenommen hat und erst nachträglich behauptet, es handle sich um eine nicht gehörige Erfüllung, kehrt sich die Beweislast um und der Gläubiger hat die nicht gehörige Erfüllung nachzuweisen (Weber, a.a.O., N 320 zu Art. 97 OR ). Das Kantonsgericht hat deshalb richtigerweise der Beklagten die Beweislast für die Behauptung auferlegt, dass es sich bei den von der Klägerin unbestrittenermassen im Verlauf der Jahre vom Geschäftskonto insgesamt abgehobenen Fr. 29'900.-- um Lohn gehandelt habe.</w:t>
      </w:r>
    </w:p>
    <w:p>
      <w:r>
        <w:t>Wenn es diesen Beweis der Beklagten als nicht erbracht angesehen hat, liegt ein Beweisergebnis vor, was Art. 8 ZGB gegenstandslos werden lässt ( BGE 119 II 114 E. 4c; 118 II 142 E. 3a). Was die Beklagte dagegen vorbringt, ist abermals eine unzulässige Kritik an der Beweiswürdigung der Vorinstanz.</w:t>
      </w:r>
    </w:p>
    <w:p>
      <w:r>
        <w:t>5.-Die Beklagte rügt schliesslich als Verletzung von Art. 8 ZGB , dass das Kantonsgericht ihre Vorbringen zu den Kassenentnahmen der Klägerin als nicht genügend substanziiert bezeichnete.</w:t>
      </w:r>
    </w:p>
    <w:p>
      <w:r>
        <w:t>a) Inwiefern das angefochtene Urteil Bundesrecht verletzt, ist in der Berufungsschrift selber darzulegen ( Art. 55 Abs. 1 lit. c OG ). Soweit die Beklagte daher bloss auf ihre Eingaben im kantonalen Verfahren verweist, sind ihre Ausführungen unbeachtlich ( BGE 116 II 92 E. 2).</w:t>
      </w:r>
    </w:p>
    <w:p>
      <w:r>
        <w:t>b) Ob ein nach dem Bundesprivatrecht zu beurteilender Anspruch durch die Sachverhaltsvorbringen einer Partei ausreichend substanziiert ist, richtet sich nach Bundesrecht ( BGE 112 II 181 ; 109 II 234 ). Demgegenüber bestimmt das kantonale Recht, wann und in welcher Form die Parteien ihre anspruchsbegründenden Tatsachen vorzubringen haben, und ob das Gericht auch auf nicht vorgebrachte Tatsachen abstellen darf (Frank/Sträuli/Messmer, Kommentar zur zürcherischen Zivilprozessordnung, Zürich 1997, N 1a zu § 113 ZPO ZH).</w:t>
      </w:r>
    </w:p>
    <w:p>
      <w:r>
        <w:t>c) Von Bundesrechts wegen kann der Beklagten nicht vorgeworfen werden, dass sie den genauen Betrag nicht genannt habe, den die Klägerin der Geschäftskasse entnommen habe. Es konnte von ihr aber sehr wohl verlangt werden, dass sie Beweismittel nennt, um ihre Behauptung zu stützen, wonach überhaupt Gelder aus der Kasse entnommen worden seien.</w:t>
      </w:r>
    </w:p>
    <w:p>
      <w:r>
        <w:t>Dass sie dem Kantonsgericht entsprechende Beweise beantragt habe, welche von diesem nicht abgenommen worden wären, lässt sich der Berufungsschrift jedoch nicht entnehmen. Aus dem Bundesrecht ergibt sich indessen keine Verpflichtung der kantonalen Gerichte, selber nach entsprechenden Beweismitteln zu suchen. Soweit die Beklagte sich dabei auf Art. 42 OR beruft, ist eine Verletzung von Bundesrecht ebenfalls nicht ersichtlich. Gemäss Art. 42 Abs. 2 OR ist der ziffernmässig nicht nachweisbare Schaden nach Ermessen des Gerichts abzuschätzen. Dabei müssen aber zumindest Anzeichen vorliegen, die den annähernd sicheren Eintritt eines Schadens nahelegen ( BGE 122 III 219 E. 3a; Brehm, Berner Kommentar, N 52 zu Art. 42 OR ; Schnyder, Basler Kommentar, 2. Aufl.</w:t>
      </w:r>
    </w:p>
    <w:p>
      <w:r>
        <w:t>1996, N 11 zu Art. 42 OR ). Dem angefochtenen Urteil sind keinerlei Anzeichen dieser Art zu entnehmen.</w:t>
      </w:r>
    </w:p>
    <w:p>
      <w:r>
        <w:t>6.-Damit erweist sich die Berufung insgesamt als unbegründet und ist abzuweisen, soweit darauf einzutreten ist.</w:t>
      </w:r>
    </w:p>
    <w:p>
      <w:r>
        <w:t>Entsprechend hat die Beklagte die Gerichtskosten zu tragen und die Klägerin für das bundesgerichtliche Verfahren zu entschädigen. Damit wird das Gesuch der Klägerin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