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4C.125/2005 vom 2. Juni 2006</w:t>
      </w:r>
    </w:p>
    <w:p>
      <w:r>
        <w:t>Bundesgericht, 2006-06-02, FR</w:t>
      </w:r>
    </w:p>
    <w:p>
      <w:r>
        <w:rPr>
          <w:b/>
        </w:rPr>
        <w:t xml:space="preserve">Quelle: </w:t>
      </w:r>
      <w:r>
        <w:t>https://mcp.opencaselaw.ch/entscheid/bger_4C.125_2005</w:t>
      </w:r>
    </w:p>
    <w:p>
      <w:r>
        <w:t>FR: TF 4C.125/2005 du 2 juin 2006</w:t>
      </w:r>
    </w:p>
    <w:p>
      <w:r>
        <w:t>IT: TF 4C.125/2005 del 2 giugno 2006</w:t>
      </w:r>
    </w:p>
    <w:p>
      <w:pPr>
        <w:pStyle w:val="Heading2"/>
      </w:pPr>
      <w:r>
        <w:t>Erwägungen</w:t>
      </w:r>
    </w:p>
    <w:p>
      <w:r>
        <w:rPr>
          <w:b/>
        </w:rPr>
        <w:t>E. 1.1</w:t>
      </w:r>
    </w:p>
    <w:p>
      <w:r>
        <w:t>Interjeté par les défendeurs, dont les conclusions libératoires ont été rejetées et les conclusions condamnatoires admises en partie seulement, le présent recours est, en principe, recevable puisqu'il vise une décision finale rendue en dernière instance cantonale par un tribunal supérieur ( art. 48 al. 1 OJ ), dans une contestation civile dont la valeur litigieuse dépasse le seuil de 8'000 fr. ( art. 46 OJ ), qu'il a été déposé en temps utile ( art. 54 al. 1 OJ en liaison avec l' art. 34 al. 1 let. a OJ ) et qu'il a été établi dans les formes requises ( art. 55 OJ ).</w:t>
      </w:r>
    </w:p>
    <w:p>
      <w:r>
        <w:rPr>
          <w:b/>
        </w:rPr>
        <w:t>E. 1.2</w:t>
      </w:r>
    </w:p>
    <w:p>
      <w:r>
        <w:t>Cependant, la recevabilité du recours soumis à l'examen de la Cour de céans fait problème à un autre titre. Il s'agit de la motivation de ses conclusions. L' art. 55 al. 1 let. b OJ exige, en effet, que l'acte de recours contienne l'indication exacte des points attaqués de la décision et des modifications demandées. Doivent aussi y figurer les motifs à l'appui des conclusions ( art. 55 al. 1 let . c OJ). Dans le cas particulier, on comprend certes, en mettant en relation les conclusions prises par les défendeurs avec les motifs indiqués dans leur mémoire de recours, que ceux-ci contestent devoir quoi que ce soit aux demandeurs. En revanche, si l'on excepte de simples assertions et un renvoi global à l'expertise privée effectuée par l'architecte G.________ ainsi qu'à des pièces du dossier cantonal (cf. ch. 16 et 22 de l'acte de recours), ledit mémoire ne contient aucune explication quant aux trois montants mentionnés sous chiffre II de ses conclusions finales (390'000 fr., 200'000 fr. et 176'500 fr.). Or, il n'appartient pas à la juridiction fédérale de réforme de rechercher elle-même, dans les écritures versées au dossier cantonal, à quoi ces montants pourraient bien correspondre. Dans cette mesure, le recours est, en conséquence, irrecevable.</w:t>
      </w:r>
    </w:p>
    <w:p>
      <w:r>
        <w:t>Par ailleurs, comme les défendeurs ne formulent aucune critique, à l'occasion du présent recours, contre le jugement préjudiciel du 30 mai 2002 qui a écarté leurs conclusions reconventionnelles, pour cause de prescription, en tant qu'elles dépassaient la somme de 50'000 fr., le Tribunal fédéral ne saurait leur allouer un montant supérieur à cette somme, même s'il admettait leurs griefs (cf. art. 55 al. 1 let . c OJ).</w:t>
      </w:r>
    </w:p>
    <w:p>
      <w:r>
        <w:rPr>
          <w:b/>
        </w:rPr>
        <w:t>E. 2</w:t>
      </w:r>
    </w:p>
    <w:p>
      <w:r>
        <w:t>Le recours en réforme est ouvert pour violation du droit fédéral, mais non pour violation directe d'un droit de rang constitutionnel ( art. 43 al. 1 OJ ) ou pour violation du droit cantonal ( ATF 127 III 248 consid. 2c p. 252).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 ces exceptions,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3</w:t>
      </w:r>
    </w:p>
    <w:p>
      <w:r>
        <w:t>En premier lieu, les défendeurs reprochent à la Cour civile d'avoir violé les art. 367 al. 1 et 370 al. 3 CO, de même que les dispositions pertinentes de la norme SIA-118.</w:t>
      </w:r>
    </w:p>
    <w:p>
      <w:r>
        <w:rPr>
          <w:b/>
        </w:rPr>
        <w:t>E. 3.1</w:t>
      </w:r>
    </w:p>
    <w:p>
      <w:r>
        <w:t>Une fois la livraison intervenue, le maître doit vérifier l'ouvrage aussitôt qu'il le peut d'après la marche habituelle des affaires ( art. 367 al. 1 CO ). Bien que la loi ne le précise pas, les défauts doivent être signalés sans délai. Le maître satisfait à ce devoir s'il donne l'avis des défauts décelés lors de la vérification immédiatement après leur découverte. En principe, il peut également attendre la fin de la période habituelle de vérification (François Chaix, Commentaire romand, n. 21 et 22 ad art. 367 CO ; Peter Gauch, Le contrat d'entreprise, n. 2141 et n. 2142, p. 582). Les défauts apparents doivent toutefois être signalés immédiatement après leur découverte au moment de la livraison, sauf si la vérification est imminente et prend peu de temps (Gauch, op. cit., n. 2143, p. 583). Une réaction immédiate n'exclut pas que le maître dispose d'un bref délai pour donner l'avis des défauts ( ATF 118 II 142 consid. 3b p.148). Cet avis doit être adressé soit à l'entrepreneur lui-même, soit à un représentant de l'entrepreneur autorisé à le recevoir (Gauch, op. cit., n. 2145). Le maître ne peut pas se prévaloir du fait que l'omission d'aviser l'entrepreneur résulte d'une négligence de son représentant, par exemple de son architecte (Gauch, op,. cit., n. 2106).</w:t>
      </w:r>
    </w:p>
    <w:p>
      <w:r>
        <w:t>L'ouvrage est tacitement accepté lorsque le maître omet la vérification et l'avis prévus par la loi ( art. 370 al. 2 CO ). Si les défauts ne se manifestent que plus tard, le maître est tenu de les signaler à l'entrepreneur aussitôt qu'il en a connaissance; sinon, l'ouvrage est tenu pour accepté avec ces défauts ( art. 370 al. 3 CO ).</w:t>
      </w:r>
    </w:p>
    <w:p>
      <w:r>
        <w:rPr>
          <w:b/>
        </w:rPr>
        <w:t>E. 3.2.1</w:t>
      </w:r>
    </w:p>
    <w:p>
      <w:r>
        <w:t>La cour cantonale souligne, dans son arrêt, que les problèmes de chauffage et d'infiltrations d'air étaient connus des défendeurs dès la mi-novembre 1987 en tout cas, puisqu'ils les ont signalés au demandeur B.________ dans une lettre du 16 novembre 1987. Il s'agit là d'une constatation de fait qui lie la juridiction fédérale de réforme. Sans doute la notion de connaissance du défaut, en tant que telle, relève-t-elle du droit. Cependant, en l'espèce, les explications avancées par les défendeurs afin de démontrer que les juges cantonaux auraient méconnu cette notion juridique ne consistent qu'en de pures allégations de fait qui ne correspondent pas à des constatations figurant dans l'arrêt attaqué. Aussi les défendeurs soutiennent-ils en vain qu'ils venaient de constater le problème de température, à la mi-novembre 1987, qu'ils n'étaient pas encore à même d'en déterminer la cause technique exacte ni l'étendue et qu'ils ne disposaient pas, à ce moment-là, d'informations suffisantes qui leur auraient permis de donner l'avis des défauts à C.________.</w:t>
      </w:r>
    </w:p>
    <w:p>
      <w:r>
        <w:t>Avec les juges précédents, force est d'admettre que l'architecte B.________ ne pouvait pas recevoir valablement l'avis des défauts pour le compte de C.________, dès lors qu'il n'était pas le représentant de cet entrepreneur, mais bien celui des défendeurs en leur qualité de maîtres de l'ouvrage et mandants. Par conséquent, la lettre que ceux-ci lui ont adressée le 16 novembre 1987 ne constituait pas un avis des défauts valablement donné à l'égard du demandeur C.________. Peu importe la raison pour laquelle cette missive n'est pas parvenue à l'entrepreneur. A supposer qu'une omission de l'architecte en fût la cause, les maîtres de l'ouvrage ne pourraient pas en tirer argument pour valider l'avis des défauts donné le 16 novembre 1987 à une autre personne qu'à celle qui aurait dû le recevoir.</w:t>
      </w:r>
    </w:p>
    <w:p>
      <w:r>
        <w:t>Pour le surplus, il appert que le premier avis des défauts correctement adressé n'a pas été donné avant le 4 février 1988. Les juges précédents l'ont constaté souverainement, de sorte que les défendeurs ne sont pas recevables à soutenir, comme ils le font, que "C.________ a nécessairement reçu l'avis des défauts avant le rendez-vous du 4 février 1998 pour les problèmes de chauffage et d'infiltrations d'air". En concluant à la tardiveté de l'avis des défauts, la Cour civile n'a, dès lors, nullement violé le droit fédéral.</w:t>
      </w:r>
    </w:p>
    <w:p>
      <w:r>
        <w:rPr>
          <w:b/>
        </w:rPr>
        <w:t>E. 3.2.2</w:t>
      </w:r>
    </w:p>
    <w:p>
      <w:r>
        <w:t>Par identité de motifs, les arguments similaires que les défendeurs avancent au sujet de l'avis concernant les problèmes de fissures du carrelage sont voués à l'échec. Ils ne consistent, eux aussi, qu'en de simples allégations, non prouvées, touchant les circonstances dans lesquelles les maîtres de l'ouvrage ont eu connaissance de ces problèmes et de la personne qui en était responsable.</w:t>
      </w:r>
    </w:p>
    <w:p>
      <w:r>
        <w:t>Les juges précédents constatent que près d'un mois s'est écoulé entre la découverte des défauts affectant les carrelages, le 12 novembre 1988, et l'avis donné à C.________, le 7 décembre 1988 au plus tôt. Ici encore, les défendeurs font valoir en pure perte que le défendeur a reçu ledit avis avant cette dernière date. Dans ce cas également, la cour cantonale a donc conclu à bon droit à la tardiveté de l'avis des défauts.</w:t>
      </w:r>
    </w:p>
    <w:p>
      <w:r>
        <w:rPr>
          <w:b/>
        </w:rPr>
        <w:t>E. 3.3</w:t>
      </w:r>
    </w:p>
    <w:p>
      <w:r>
        <w:t>La Cour civile a refusé d'appliquer les normes SIA au motif que leur contenu n'avait pas été prouvé. Les défendeurs s'en sont plaints sans succès devant la Chambre des recours, puis dans un recours de droit public. C'est en vain, partant, qu'ils reprochent à la Cour civile, dans leur recours en réforme, d'avoir méconnu les dispositions de la norme SIA-118 régissant l'avis des défauts.</w:t>
      </w:r>
    </w:p>
    <w:p>
      <w:r>
        <w:rPr>
          <w:b/>
        </w:rPr>
        <w:t>E. 4</w:t>
      </w:r>
    </w:p>
    <w:p>
      <w:r>
        <w:t>Les défendeurs font valoir, par ailleurs, que l'arrêt attaqué viole l' art. 8 CC à plus d'un titre.</w:t>
      </w:r>
    </w:p>
    <w:p>
      <w:r>
        <w:rPr>
          <w:b/>
        </w:rPr>
        <w:t>E. 4.1</w:t>
      </w:r>
    </w:p>
    <w:p>
      <w:r>
        <w:t>L' art. 8 CC répartit le fardeau de la preuve et détermine, sur cette base, laquelle des parties doit assumer les conséquences de l'échec de la preuve ( ATF 127 III 520 consid. 2a; 126 III 189 consid. 2b). Il confère également aux parties le droit d'apporter la preuve de leurs allégués ( ATF 114 II 289 consid. 2a). Viole l' art. 8 CC le juge qui refuse toute administration de preuve, offerte, quant à sa forme et son fond, selon les exigences du droit cantonal, sur un fait juridiquement pertinent alors qu'il considère l'allégation de celui-ci ni comme établie à satisfaction de droit ni comme réfutée; il en va de même lorsque le juge rejette à tort une demande parce qu'elle serait insuffisamment motivée: ce faisant, il écarte aussi les offres de preuve du plaideur ( ATF 114 II 289 consid. 2a).</w:t>
      </w:r>
    </w:p>
    <w:p>
      <w:r>
        <w:t>L' art. 8 CC ne prescrit cependant pas quelles sont les mesures probatoires qui doivent être ordonnées ni ne dicte comment le juge doit forger sa conviction. Il n'exclut ni l'appréciation anticipée des preuves ni la preuve par indices ( ATF 127 III 520 consid. 2a; 114 II 289 consid. 2a).</w:t>
      </w:r>
    </w:p>
    <w:p>
      <w:r>
        <w:t>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4.2</w:t>
      </w:r>
    </w:p>
    <w:p>
      <w:r>
        <w:t>Les défendeurs voient une première violation de l' art. 8 CC dans la constatation de la cour cantonale selon laquelle C.________ n'a eu connaissance des défauts que le 4 février 1988 pour les problèmes de chauffage et le 7 décembre 1988 seulement pour les problèmes de carrelage. Le moyen soulevé par eux a trait à une pure question d'appréciation des preuves et il n'a rien à voir, par conséquent, avec la disposition précitée. Aussi est-il de toute évidence irrecevable.</w:t>
      </w:r>
    </w:p>
    <w:p>
      <w:r>
        <w:t>La même conclusion s'impose, pour le motif indiqué au considérant 3.3., quant à la prétendue violation de l' art. 8 CC qu'auraient commise les juges de la Cour civile en refusant d'appliquer la norme SIA-118.</w:t>
      </w:r>
    </w:p>
    <w:p>
      <w:r>
        <w:t>Sont également frappés d'irrecevabilité les griefs par lesquels les défendeurs reprochent aux juges précédents d'avoir accueilli les conclusions de l'expertise judiciaire plutôt que celles de l'expertise privée (ch. 16 à 21 de l'acte de recours) et de n'avoir pas tenu compte des pièces produites en vue d'établir le coût total des réparations (ch. 22 de l'acte de recours). Les arguments avancés à l'appui de ces griefs ont trait soit à l'appréciation des preuves, soit à l'application du droit de procédure cantonal.</w:t>
      </w:r>
    </w:p>
    <w:p>
      <w:r>
        <w:rPr>
          <w:b/>
        </w:rPr>
        <w:t>E. 5</w:t>
      </w:r>
    </w:p>
    <w:p>
      <w:r>
        <w:t>Les défendeurs soutiennent enfin que les demandeurs commettent un abus de droit, interdit par l' art. 2 al. 2 CC , en s'opposant à l'application des normes SIA, au motif que leur contenu n'a pas été prouvé, alors qu'ils ont soumis auxdites normes les contrats passés avec eux.</w:t>
      </w:r>
    </w:p>
    <w:p>
      <w:r>
        <w:t>Le moyen est dénué de fondement. D'abord, il ne ressort ni du jugement attaqué, ni de l'arrêt de la Chambre des recours que l'inapplicabilité des normes SIA, faute de preuve de leur contenu, ait été plaidée par les demandeurs. Il semble qu'il se soit plutôt agi d'une décision prise sua sponte par la Cour civile. Ensuite, il n'y aurait rien de contradictoire, de la part des demandeurs, à avoir admis l'applicabilité des normes SIA à la relation contractuelle en cause et à soutenir ultérieurement que leurs cocontractants n'avaient pas établi le contenu de la norme applicable, s'agissant d'un fait qui n'est pas notoire. Un tel comportement n'excède pas les limites du débat judiciaire. Rien ne permet enfin de retenir, en l'espèce, que les demandeurs, par leur comportement, auraient laissé entendre aux défendeurs que C.________ accepterait sa responsabilité pour tous les défauts avérés qui lui seraient signalés dans le délai d'avis de deux ans prévu par la norme SIA-118.</w:t>
      </w:r>
    </w:p>
    <w:p>
      <w:r>
        <w:rPr>
          <w:b/>
        </w:rPr>
        <w:t>E. 6</w:t>
      </w:r>
    </w:p>
    <w:p>
      <w:r>
        <w:t>Cela étant, le présent recours ne peut qu'être rejeté dans la mesure où il est recevable. Les défendeurs, qui succombent, seront condamnés solidairement à payer l'émolument judiciaire ( art. 156 al. 1 et 7 OJ ) et à verser des dépens aux demandeurs, créanciers solidaires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