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4C.122/2000 vom 17. Juli 2000</w:t>
      </w:r>
    </w:p>
    <w:p>
      <w:r>
        <w:t>Bundesgericht, 2000-07-17, DE</w:t>
      </w:r>
    </w:p>
    <w:p>
      <w:r>
        <w:rPr>
          <w:b/>
        </w:rPr>
        <w:t xml:space="preserve">Quelle: </w:t>
      </w:r>
      <w:r>
        <w:t>https://mcp.opencaselaw.ch/entscheid/bger_4C.122_2000</w:t>
      </w:r>
    </w:p>
    <w:p>
      <w:r>
        <w:t>FR: TF 4C.122/2000 du 17 juillet 2000</w:t>
      </w:r>
    </w:p>
    <w:p>
      <w:r>
        <w:t>IT: TF 4C.122/2000 del 17 luglio 2000</w:t>
      </w:r>
    </w:p>
    <w:p>
      <w:pPr>
        <w:pStyle w:val="Heading2"/>
      </w:pPr>
      <w:r>
        <w:t>Regeste</w:t>
      </w:r>
    </w:p>
    <w:p>
      <w:r>
        <w:t>Vertragsrecht</w:t>
      </w:r>
    </w:p>
    <w:p>
      <w:pPr>
        <w:pStyle w:val="Heading2"/>
      </w:pPr>
      <w:r>
        <w:t>Erwägungen</w:t>
      </w:r>
    </w:p>
    <w:p>
      <w:r>
        <w:rPr>
          <w:b/>
        </w:rPr>
        <w:t>E. 2</w:t>
      </w:r>
    </w:p>
    <w:p>
      <w:r>
        <w:t>Die Klägerin hält dafür, mit der Vertragsänderung sei gegen das in Art. 341 OR verankerte Verzichtsverbot verstossen worden. a) Zu Recht weist die Klägerin darauf hin, dass bei einem Aufhebungs- bzw. Änderungsvertrag Art. 341 Abs. 1 OR zu beachten ist. Nach dieser Bestimmung kann ein Arbeitnehmer während des Arbeitsverhältnisses und während eines Monates nach dessen Beendigung nicht auf Ansprüche verzichten, die sich aus unabdingbaren Gesetzesbestimmungen oder unabdingbaren Bestimmungen eines Gesamtarbeitsvertrages ergeben. Nicht um einen verbotenen Verzicht sondern um einen zulässigen Vergleich handelt es sich indessen, wenn mit einer Vereinbarung beide Parteien auf Rechte verzichten ( BGE 118 II 58 E. 2b S. 61 mit Hinweisen). Vom Wesen des Vergleichs her brauchen die Ansprüche, auf die verzichtet wird, allerdings nicht liquid zu sein. Ein Verzicht auf illiquide im Austausch für liquide Ansprüche ist zulässig. Das Ergebnis darf aber nicht nur dem Arbeitgeber Vorteile bringen. Deshalb ist ein Aufhebungsvertrag ohne Einhaltung der Kündigungsfristen zulässig, sofern damit nicht nur auf die Lohnfortzahlungspflicht während der Kündigungsfrist sondern auch auf in dieser Zeit geschuldete Arbeitsleistung verzichtet wird ( BGE 118 II 58 E. 2b S. 61). b) Nach den für das Bundesgericht verbindlichen Feststellungen der Vorinstanz, stand die Arbeitsunfähigkeit der Klägerin im Zeitpunkt des Abschlusses des Änderungsvertrages für die Parteien nicht fest. Der Klinikarzt beurteilte die Klägerin bei ihrem Spitalaustritt als vollständig arbeitsfähig. Sie ging im Anschluss an die Vertragsunterzeichnung überdies in die Ferien und die Reduktion des Beschäftigungsgrades sollte erst nach ihrer Rückkehr wirksam werden. Erst nach Wiederaufnahme ihrer Tätigkeit bei der Beklagten wurde der Klägerin von ihrem Hausarzt rückwirkend auf den Zeitpunkt des Spitalaustrittes eine verminderte Arbeitsfähigkeit von 50% attestiert. Die Parteien mussten somit im Zeitpunkt des Vertragschlusses davon ausgehen, dass mit der Vertragsänderung nicht nur die Lohnzahlungspflicht reduziert wurde. Vielmehr verzichtete die Arbeitgeberin in jenem Zeitpunkt auf einen Teil der künftigen Arbeitsleistung, mit welcher sie ohne die Vertragsänderung ernstlich rechnen konnte. Zu beachten ist auch, dass die Arbeitgeberin bei einer Reduktion des Beschäftigungsgrades auf 50% nicht davon ausgehen konnte, dass die Arbeitnehmerin im Falle einer 50%igen Arbeitsunfähigkeit die ganzen 50% ihrer Arbeitsleistung erbringen werde. Der Änderungsvertrag verletzt somit Art. 341 OR nicht, und die Berufung ist abzuweisen. 3.-Dem Verfahrensausgang entsprechend hat die Klägerin die Beklagte für das Berufungsverfahren zu entschädigen. Eine Gerichtsgebühr ist nicht zu erheben ( Art. 343 Abs. 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