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4C.121/2000 vom 29. August 2000</w:t>
      </w:r>
    </w:p>
    <w:p>
      <w:r>
        <w:t>Bundesgericht, 2000-08-29, DE</w:t>
      </w:r>
    </w:p>
    <w:p>
      <w:r>
        <w:rPr>
          <w:b/>
        </w:rPr>
        <w:t xml:space="preserve">Quelle: </w:t>
      </w:r>
      <w:r>
        <w:t>https://mcp.opencaselaw.ch/entscheid/bger_4C.121_2000</w:t>
      </w:r>
    </w:p>
    <w:p>
      <w:r>
        <w:t>FR: TF 4C.121/2000 du 29 août 2000</w:t>
      </w:r>
    </w:p>
    <w:p>
      <w:r>
        <w:t>IT: TF 4C.121/2000 del 29 agosto 2000</w:t>
      </w:r>
    </w:p>
    <w:p>
      <w:pPr>
        <w:pStyle w:val="Heading2"/>
      </w:pPr>
      <w:r>
        <w:t>Regeste</w:t>
      </w:r>
    </w:p>
    <w:p>
      <w:r>
        <w:t>Immaterialgüter-, Wettbewerbs- und Kartellrecht</w:t>
      </w:r>
    </w:p>
    <w:p>
      <w:pPr>
        <w:pStyle w:val="Heading2"/>
      </w:pPr>
      <w:r>
        <w:t>Erwägungen</w:t>
      </w:r>
    </w:p>
    <w:p>
      <w:r>
        <w:rPr>
          <w:b/>
        </w:rPr>
        <w:t>E. 3</w:t>
      </w:r>
    </w:p>
    <w:p>
      <w:r>
        <w:t>Aufl. , S. 33). Daraus folgt, dass das schweizerische Gericht bei der Bestimmung der streitentscheidenden Rechtsfragen sowie der Ermittlung und Anwendung ausländischen Rechts nicht ohne Berücksichtigung der Eigenheiten der fremden Rechtsordnung von den in der inländischen Dogmatik verwendeten Denkkategorien und Argumentationsmustern ausgehen darf (vgl. dazu Zweigert/Kötz, a.a.O., S. 34). Bereits unter altem Recht war es überdies unzulässig, die Rechtsanwendungsfrage mit der Begründung offen zu lassen, dass die in Frage kommenden Rechtsordnungen inhaltlich übereinstimmten ( BGE 100 II 34 E. 5 mit Hinweisen; Keller/Girsberger, a.a.O., N. 8 zu Nach Art. 16 IPRG ). bb) Der Inhalt des anzuwendenden ausländischen Rechts ist von Amtes wegen festzustellen. Dazu kann die Mitwirkung der Parteien verlangt werden. Bei vermögensrechtlichen Ansprüchen kann der Nachweis den Parteien überbunden werden ( Art. 16 Abs. 1 IPRG ; zum Vorgehen bei der Ermittlung des ausländischen Rechts vgl. BGE 124 I 49 E. 3 mit Hinweisen).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Folge dieses nicht sachgerechten Vorgehens ist nicht nur eine - bei vermögensrechtlichen Streitigkeiten im Berufungsverfahren nicht überprüfbare ( Art. 43a Abs. 2 OG e contrario) - falsche Anwendung des ausländischen Rechts. Vielmehr wird diesfalls das massgebende ausländische Recht nicht in dem vom schweizerischen Kollisionsrecht geforderten Umfang angewendet, womit der Rügegrund von Art. 43a Abs. 1 lit. a OG gegeben ist (Mächler-Erne, Basler Kommentar zum IPRG, N. 7 des Anhangs; Messmer/ Imboden, Die eidgenössischen Rechtsmittel in Zivilsachen, S. 109). Ob dies auch dann zutrifft, wenn im Rahmen des ausländischen Rechts nur punktuell und bezüglich untergeordneter Fragen schweizerisches Recht herangezogen wird, oder ob diesfalls nicht eher eine unzutreffende Anwendung des ausländischen Rechts vorliegt, kann hier offen bleiben. Ohne weiteres zulässig ist immerhin auch bei der Anwendung ausländischen Rechts die rechtsvergleichende Bezugnahme auf das schweizerische Recht. cc) Im vorliegenden Fall stellte das erstinstanzliche Gericht zunächst fest, dass auf das zu beurteilende Vertragsverhältnis kalifornisches Recht anwendbar sei. Unter Hinweis auf schweizerische Lehrmeinungen qualifizierte es den Vertrag zwischen der Amfit und der Beklagten sodann als gemischten Vertrag sui generis. Im Rahmen der Erwägungen über die Rechtsfolgen der von der Beklagten als Lizenznehmerin behaupteten Patentnichtigkeit wird wiederum unter Berufung auf die schweizerische Doktrin festgehalten, dass durch die staatliche Erteilung des Patents die Scheinexistenz desselben für die (Pseudo-)Lizenznehmerin gewisse faktische Wirkungen zu entfalten vermöge. Es könne im Falle der Nichtigkeit eines Patentes nicht unbesehen von der Nichtigkeit des damit verbundenen Lizenzvertrages wegen anfänglicher Unmöglichkeit gemäss Art. 20 OR ausgegangen werden, ohne weiter unter Beachtung der Interessenlage zu differenzieren. Das Gericht hielt sodann unter Verweis auf die Auffassung zweier schweizerischer Autoren fest, die Folgen einer Nicht- oder Schlechterfüllung des Lizenzvertrages wegen Fehlens der zugesicherten Qualität der Systeme und der Erfindung oder Nichterreichbarkeit des wirtschaftlichen Ergebnisses beurteilten sich nach analog angewendeten Kaufrechtsbestimmungen, konkret nach den jeweiligen Regeln über die Sach- bzw. Rechtsgewährleistung. Diese Vorüberlegungen führten das Gericht dazu, das nach seiner Auffassung massgebende kalifornische Kaufrecht auf den strittigen Vertrag anzuwenden. dd) Aus diesen Ausführungen erhellt, dass im kantonalen Verfahren auf das strittige Vertragsverhältnis nicht ausschliesslich kalifornisches Recht angewendet wurde, wie dies das schweizerische internationale Privatrecht vorschreibt. Namentlich die zentralen Erwägungen, welche der Bestimmung der entscheidenden Rechtsfragen dienten und damit die Grundlage für die Feststellung des kalifornischen Kaufrechts sowie dessen Anwendung auf den Lizenzvertrag bildeten, stützen sich ausschliesslich auf die schweizerische Doktrin und damit auf die Rechtslage in der Schweiz. Hinweise auf die massgebende rechtliche Situation in Kalifornien fehlen gänzlich. Die Rüge der Beklagten erweist sich damit als begründet. 4.-Weil das angefochtene Urteil somit aufzuheben und die Sache zur Neubeurteilung an die Vorinstanz zurückzuweisen ist (vgl. oben E. 1), erübrigt sich die Prüfung der weiteren von der Beklagten vorgebrachten Rügen. Aus prozessökonomischen Gründen sei jedoch darauf hingewiesen, dass es sich bei der Feststellung, wonach die behauptete Nichtigkeit des Patentes für die Beklagte keine wirtschaftlichen Folgen gezeitigt hat, um eine vom kantonalen Sachgericht abschliessend beurteilte Tatfrage handelt ( Art. 63 Abs. 2 OG ).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